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carvana-cvna-q2-2026-earnings-preview"/>
    <w:p>
      <w:pPr>
        <w:pStyle w:val="Heading1"/>
      </w:pPr>
      <w:r>
        <w:t xml:space="preserve">Carvana (CVNA)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Conference Call:</w:t>
      </w:r>
      <w:r>
        <w:t xml:space="preserve"> </w:t>
      </w:r>
      <w:r>
        <w:t xml:space="preserve">5:00 p.m. ET</w:t>
      </w:r>
    </w:p>
    <w:bookmarkStart w:id="9" w:name="setup-a-volatile-run-up-to-the-print"/>
    <w:p>
      <w:pPr>
        <w:pStyle w:val="Heading2"/>
      </w:pPr>
      <w:r>
        <w:t xml:space="preserve">Setup: A Volatile Run-Up to the Print</w:t>
      </w:r>
    </w:p>
    <w:p>
      <w:pPr>
        <w:pStyle w:val="FirstParagraph"/>
      </w:pPr>
      <w:r>
        <w:t xml:space="preserve">Carvana enters tomorrow's report in an unusual spot: fundamentals have been record-setting for nine straight quarters, yet the stock has been one of the market's more turbulent large caps in 2026. Shares (post the 5-for-1 forward split that became effective May 7, 2026) hit an all-time high near $97 in January before the stock was hit by short-seller allegations, a Bank of America downgrade, and sympathy selling tied to a peer's cost commentary. As of July 28, CVNA closed around</w:t>
      </w:r>
      <w:r>
        <w:t xml:space="preserve"> </w:t>
      </w:r>
      <m:oMath>
        <m:r>
          <m:t>66</m:t>
        </m:r>
        <m:r>
          <m:rPr>
            <m:sty m:val="p"/>
          </m:rPr>
          <m:t>—</m:t>
        </m:r>
        <m:r>
          <m:t>r</m:t>
        </m:r>
        <m:r>
          <m:t>o</m:t>
        </m:r>
        <m:r>
          <m:t>u</m:t>
        </m:r>
        <m:r>
          <m:t>g</m:t>
        </m:r>
        <m:r>
          <m:t>h</m:t>
        </m:r>
        <m:r>
          <m:t>l</m:t>
        </m:r>
        <m:r>
          <m:t>y</m:t>
        </m:r>
        <m:r>
          <m:t>30</m:t>
        </m:r>
      </m:oMath>
      <w:r>
        <w:t xml:space="preserve">0.42** and</w:t>
      </w:r>
      <w:r>
        <w:t xml:space="preserve"> </w:t>
      </w:r>
      <w:r>
        <w:rPr>
          <w:b/>
          <w:bCs/>
        </w:rPr>
        <w:t xml:space="preserve">revenue of roughly $6.9–7.0 billion</w:t>
      </w:r>
      <w:r>
        <w:t xml:space="preserve">.</w:t>
      </w:r>
    </w:p>
    <w:bookmarkEnd w:id="9"/>
    <w:bookmarkStart w:id="10" w:name="q1-2026-recap-the-base-case-going-in"/>
    <w:p>
      <w:pPr>
        <w:pStyle w:val="Heading2"/>
      </w:pPr>
      <w:r>
        <w:t xml:space="preserve">Q1 2026 Recap: The Base Case Going In</w:t>
      </w:r>
    </w:p>
    <w:p>
      <w:pPr>
        <w:pStyle w:val="FirstParagraph"/>
      </w:pPr>
      <w:r>
        <w:t xml:space="preserve">Carvana's first quarter was another blowout by its own recent standards. Management reported a record 187,000 cars sold in a single quarter, a record GAAP operating income of $581 million and record adjusted EBITDA of $672 million, and it was our ninth straight quarter of being the most profitable and fastest-growing automotive retailer as well as our sixth straight quarter of 40% year-over-year growth. Retail units of 187,393 were up 40% year-over-year, revenue of $6.432 billion rose 52%, and net income margin was 6.3% versus 8.8% a year earlier, with adjusted EBITDA margin of 10.4%.</w:t>
      </w:r>
    </w:p>
    <w:p>
      <w:pPr>
        <w:pStyle w:val="BodyText"/>
      </w:pPr>
      <w:r>
        <w:t xml:space="preserve">Critically for Q2 expectations, management gave explicit sequential guidance: "Looking ahead to Q2, we expect retail GPU to increase sequentially, but to decrease year-over-year due to approximately $100 of tariff-related benefits last year, lower shipping fees and higher non-vehicle costs this year and approximately $100 to $200 of impact from narrower industry-wide wholesale to retail spreads this year." On the top line, the CFO was unambiguous: "Looking toward Q2 and assuming the environment remains stable, we expect a sequential increase in both retail units sold and adjusted EBITDA, leading to all-time company records on both metrics. We remain on track to deliver significant growth in both retail units sold and adjusted EBITDA in full year 2026."</w:t>
      </w:r>
    </w:p>
    <w:p>
      <w:pPr>
        <w:pStyle w:val="BodyText"/>
      </w:pPr>
      <w:r>
        <w:t xml:space="preserve">For context, Q2 2025 (the comp) delivered 143,280 retail units (+41% YoY), $4.84 billion revenue (+42%), $308 million net income (6.4% margin) and</w:t>
      </w:r>
      <w:r>
        <w:t xml:space="preserve"> </w:t>
      </w:r>
      <m:oMath>
        <m:r>
          <m:t>601</m:t>
        </m:r>
        <m:r>
          <m:t>m</m:t>
        </m:r>
        <m:r>
          <m:t>i</m:t>
        </m:r>
        <m:r>
          <m:t>l</m:t>
        </m:r>
        <m:r>
          <m:t>l</m:t>
        </m:r>
        <m:r>
          <m:t>i</m:t>
        </m:r>
        <m:r>
          <m:t>o</m:t>
        </m:r>
        <m:r>
          <m:t>n</m:t>
        </m:r>
        <m:r>
          <m:t>a</m:t>
        </m:r>
        <m:r>
          <m:t>d</m:t>
        </m:r>
        <m:r>
          <m:t>j</m:t>
        </m:r>
        <m:r>
          <m:t>u</m:t>
        </m:r>
        <m:r>
          <m:t>s</m:t>
        </m:r>
        <m:r>
          <m:t>t</m:t>
        </m:r>
        <m:r>
          <m:t>e</m:t>
        </m:r>
        <m:r>
          <m:t>d</m:t>
        </m:r>
        <m:r>
          <m:t>E</m:t>
        </m:r>
        <m:r>
          <m:t>B</m:t>
        </m:r>
        <m:r>
          <m:t>I</m:t>
        </m:r>
        <m:r>
          <m:t>T</m:t>
        </m:r>
        <m:r>
          <m:t>D</m:t>
        </m:r>
        <m:r>
          <m:t>A</m:t>
        </m:r>
        <m:r>
          <m:rPr>
            <m:sty m:val="p"/>
          </m:rPr>
          <m:t>(</m:t>
        </m:r>
        <m:r>
          <m:t>12.4</m:t>
        </m:r>
      </m:oMath>
      <w:r>
        <w:t xml:space="preserve">6.9–7.0 billion in revenue implies roughly 42-44% top-line growth continuing, even as margin expectations moderate versus that unusually strong Q2 2025 EBITDA margin.</w:t>
      </w:r>
    </w:p>
    <w:bookmarkEnd w:id="10"/>
    <w:bookmarkStart w:id="11" w:name="what-to-watch-on-the-call"/>
    <w:p>
      <w:pPr>
        <w:pStyle w:val="Heading2"/>
      </w:pPr>
      <w:r>
        <w:t xml:space="preserve">What to Watch on the Call</w:t>
      </w:r>
    </w:p>
    <w:p>
      <w:pPr>
        <w:pStyle w:val="FirstParagraph"/>
      </w:pPr>
      <w:r>
        <w:rPr>
          <w:b/>
          <w:bCs/>
        </w:rPr>
        <w:t xml:space="preserve">1. Retail unit growth cadence.</w:t>
      </w:r>
      <w:r>
        <w:t xml:space="preserve"> </w:t>
      </w:r>
      <w:r>
        <w:t xml:space="preserve">The 40%+ YoY growth streak (six straight quarters) is the single biggest driver of the bull case. Any deceleration signal — even if still strong — could rattle a stock priced for continued hyper-growth. Watch whether Q2 units land meaningfully above the ~205-210k implied by consensus revenue.</w:t>
      </w:r>
    </w:p>
    <w:p>
      <w:pPr>
        <w:pStyle w:val="BodyText"/>
      </w:pPr>
      <w:r>
        <w:rPr>
          <w:b/>
          <w:bCs/>
        </w:rPr>
        <w:t xml:space="preserve">2. Retail GPU trajectory and the reconditioning story.</w:t>
      </w:r>
      <w:r>
        <w:t xml:space="preserve"> </w:t>
      </w:r>
      <w:r>
        <w:t xml:space="preserve">Q4 2025 saw a reconditioning cost "bump" that pressured GPU; management spent much of the Q1 call detailing the fix — "So far in Q2, we are beginning to see the impact of these efforts, with labor hours per unit for vehicles produced over the last few weeks approaching levels just shy of our all-time best." Investors will want confirmation that centralized planning tools, the new "Roll Call" application, and training investments are translating into actual GPU dollars, not just labor-hour metrics. This is also where the read-through risk from CarMax's mid-June commentary about persistently elevated reconditioning costs matters — CVNA stock fell in sympathy even though its own cost trend was said to be improving, so Q2 numbers are effectively a referendum on whether Carvana's operational fix is real.</w:t>
      </w:r>
    </w:p>
    <w:p>
      <w:pPr>
        <w:pStyle w:val="BodyText"/>
      </w:pPr>
      <w:r>
        <w:rPr>
          <w:b/>
          <w:bCs/>
        </w:rPr>
        <w:t xml:space="preserve">3. Wholesale-to-retail spread normalization.</w:t>
      </w:r>
      <w:r>
        <w:t xml:space="preserve"> </w:t>
      </w:r>
      <w:r>
        <w:t xml:space="preserve">Management flagged a $100-200 per-unit headwind from wider-than-normal spreads between wholesale and retail pricing, calling it a "transitory" seasonal lag rather than a structural shift. Confirmation that this spread is normalizing (or not) will matter for both Q2 results and second-half guidance.</w:t>
      </w:r>
    </w:p>
    <w:p>
      <w:pPr>
        <w:pStyle w:val="BodyText"/>
      </w:pPr>
      <w:r>
        <w:rPr>
          <w:b/>
          <w:bCs/>
        </w:rPr>
        <w:t xml:space="preserve">4. SG&amp;A leverage and advertising spend.</w:t>
      </w:r>
      <w:r>
        <w:t xml:space="preserve"> </w:t>
      </w:r>
      <w:r>
        <w:t xml:space="preserve">Q1 delivered a $170 reduction in non-GAAP SG&amp;A per unit, but overhead ticked up sequentially on seasonal share-based comp vesting and winter weather costs, plus ongoing AI/technology investment. Advertising spend per unit has been rising deliberately as the company leans into a nearly 2% market share in the U.S. used vehicle retail market compared to approximately 20% e-commerce adoption in non-automotive retail verticals as its growth runway argument. Watch for updated commentary on the path to the long-stated 13.5% adjusted EBITDA margin target.</w:t>
      </w:r>
    </w:p>
    <w:p>
      <w:pPr>
        <w:pStyle w:val="BodyText"/>
      </w:pPr>
      <w:r>
        <w:rPr>
          <w:b/>
          <w:bCs/>
        </w:rPr>
        <w:t xml:space="preserve">5. Capacity build-out progress.</w:t>
      </w:r>
      <w:r>
        <w:t xml:space="preserve"> </w:t>
      </w:r>
      <w:r>
        <w:t xml:space="preserve">As of Q1, Carvana had 18 inspection &amp; reconditioning centers and 16 integrated ADESA sites, supporting roughly 1.5 million units of fully built-out annual capacity against a long-term real estate footprint that could support 3 million units. Management guided to integrating 6-8 more ADESA sites in 2026 and beginning selective full-buildout construction — an important data point for the credibility of the 3-million-unit, 2030-2035 target.</w:t>
      </w:r>
    </w:p>
    <w:p>
      <w:pPr>
        <w:pStyle w:val="BodyText"/>
      </w:pPr>
      <w:r>
        <w:rPr>
          <w:b/>
          <w:bCs/>
        </w:rPr>
        <w:t xml:space="preserve">6. Balance sheet.</w:t>
      </w:r>
      <w:r>
        <w:t xml:space="preserve"> </w:t>
      </w:r>
      <w:r>
        <w:t xml:space="preserve">Net debt-to-trailing-12-month-EBITDA fell to 1.1x in Q1 — the company's strongest position ever — with total liquidity of roughly $6.9 billion. Continued deleveraging progress remains a key part of the "investment-grade" narrative management has been building toward.</w:t>
      </w:r>
    </w:p>
    <w:bookmarkEnd w:id="11"/>
    <w:bookmarkStart w:id="12" w:name="X791486e4ef2e4e202275f4e390b026ba72c0b37"/>
    <w:p>
      <w:pPr>
        <w:pStyle w:val="Heading2"/>
      </w:pPr>
      <w:r>
        <w:t xml:space="preserve">The Overhang: Governance and Litigation Risk</w:t>
      </w:r>
    </w:p>
    <w:p>
      <w:pPr>
        <w:pStyle w:val="FirstParagraph"/>
      </w:pPr>
      <w:r>
        <w:t xml:space="preserve">This is arguably the most important non-operational storyline heading into the print. On January 28, 2026, short-seller Gotham City Research published a report alleging that Carvana's results are deeply intertwined with related-party entities controlled by Ernie Garcia II (father of CEO Ernie Garcia III) — primarily DriveTime and Bridgecrest — and that undisclosed related-party dealings had overstated earnings by more than $1 billion. The stock fell sharply on the news, and multiple plaintiffs' law firms subsequently announced investigations into potential securities-law violations. Carvana has publicly disputed the allegations as inaccurate and misleading, and CFO Mark Jenkins has called the claims false. Separately, a long-running securities class action from the 2021-2022 period remains active in Arizona federal court, and a judge has ordered production of previously withheld DriveTime documents — a development that itself pressured the stock earlier this year. Shareholders also rejected (at the May 2026 annual meeting) a stockholder proposal to separate the Chairman and CEO roles, a vote that drew attention given the related-party concerns.</w:t>
      </w:r>
    </w:p>
    <w:p>
      <w:pPr>
        <w:pStyle w:val="BodyText"/>
      </w:pPr>
      <w:r>
        <w:t xml:space="preserve">Layered on top of this, insider selling by Ernie Garcia II and other executives (CFO Jenkins, COO Huston) has continued steadily through 2026, mostly under pre-scheduled 10b5-1 plans — routine in form, but a sensitive backdrop given the fraud allegations. None of this shows up directly in the Q2 numbers, but management will almost certainly face questions on the call, and any incremental legal/regulatory disclosure (SEC subpoena status, litigation timeline) could move the stock as much as the print itself.</w:t>
      </w:r>
    </w:p>
    <w:bookmarkEnd w:id="12"/>
    <w:bookmarkStart w:id="13" w:name="macro-and-sentiment-backdrop"/>
    <w:p>
      <w:pPr>
        <w:pStyle w:val="Heading2"/>
      </w:pPr>
      <w:r>
        <w:t xml:space="preserve">Macro and Sentiment Backdrop</w:t>
      </w:r>
    </w:p>
    <w:p>
      <w:pPr>
        <w:pStyle w:val="FirstParagraph"/>
      </w:pPr>
      <w:r>
        <w:t xml:space="preserve">Analyst sentiment has grown more divided over the course of 2026. Bank of America downgraded CVNA to Neutral in April, citing an oil-price shock and rising rates pressuring Carvana's lower- and middle-income customer base, and has since trimmed its price target further (to $75 from $88 in late July) while several other firms — including Jefferies (PT cut to $90 from $95, still Buy) — have maintained bullish ratings but nudged targets down. The broader sell-side skew remains Buy-tilted (the majority of the ~21-22 covering analysts rate it Buy or Strong Buy), with average price targets in the $90-94 range implying meaningful upside from current levels, but the spread between bulls and skeptics has widened. On the call in Q1, management downplayed macro sensitivity, arguing that gas-price and geopolitical swings (including references to the "Iran situation") create only modest mix shifts (e.g., SUVs vs. EVs) rather than structural demand changes, and that company-specific execution — not macro — remains the dominant driver of results.</w:t>
      </w:r>
    </w:p>
    <w:p>
      <w:pPr>
        <w:pStyle w:val="BodyText"/>
      </w:pPr>
      <w:r>
        <w:t xml:space="preserve">Valuation itself is a live debate: CVNA trades at a meaningful premium to traditional peers on a forward P/E and EV/EBITDA basis, a premium the bull case justifies via runway (under 2% used-vehicle market share) and margin expansion, and the bear case flags as vulnerable to any stumble in growth or GPU trends.</w:t>
      </w:r>
    </w:p>
    <w:bookmarkEnd w:id="13"/>
    <w:bookmarkStart w:id="14" w:name="bottom-line-for-investors"/>
    <w:p>
      <w:pPr>
        <w:pStyle w:val="Heading2"/>
      </w:pPr>
      <w:r>
        <w:t xml:space="preserve">Bottom Line for Investors</w:t>
      </w:r>
    </w:p>
    <w:p>
      <w:pPr>
        <w:pStyle w:val="FirstParagraph"/>
      </w:pPr>
      <w:r>
        <w:t xml:space="preserve">Going into Wednesday's print, the operational bar is high but has been consistently cleared: another sequential record in units and EBITDA is essentially pre-guided by management, and the real questions are about</w:t>
      </w:r>
      <w:r>
        <w:t xml:space="preserve"> </w:t>
      </w:r>
      <w:r>
        <w:rPr>
          <w:i/>
          <w:iCs/>
        </w:rPr>
        <w:t xml:space="preserve">magnitude</w:t>
      </w:r>
      <w:r>
        <w:t xml:space="preserve"> </w:t>
      </w:r>
      <w:r>
        <w:t xml:space="preserve">and</w:t>
      </w:r>
      <w:r>
        <w:t xml:space="preserve"> </w:t>
      </w:r>
      <w:r>
        <w:rPr>
          <w:i/>
          <w:iCs/>
        </w:rPr>
        <w:t xml:space="preserve">quality</w:t>
      </w:r>
      <w:r>
        <w:t xml:space="preserve"> </w:t>
      </w:r>
      <w:r>
        <w:t xml:space="preserve">— whether reconditioning efficiency gains are showing up in GPU dollars yet, whether the wholesale-retail spread headwind is fading as management expects, and whether SG&amp;A leverage continues at its recent pace. Layered on top is a governance and litigation cloud that has clearly weighed on the multiple even as the underlying business keeps growing 40%+, meaning the market reaction may hinge as much on any incremental legal commentary and forward-quarter guidance tone as on the quarter's raw numbers themselves.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2026-07-29T01:48:09Z</dcterms:created>
  <dcterms:modified xsi:type="dcterms:W3CDTF">2026-07-29T01:48:09Z</dcterms:modified>
</cp:coreProperties>
</file>

<file path=docProps/custom.xml><?xml version="1.0" encoding="utf-8"?>
<Properties xmlns="http://schemas.openxmlformats.org/officeDocument/2006/custom-properties" xmlns:vt="http://schemas.openxmlformats.org/officeDocument/2006/docPropsVTypes"/>
</file>