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na-earnings-predictions--2026-07-29"/>
    <w:p>
      <w:pPr>
        <w:pStyle w:val="Heading1"/>
      </w:pPr>
      <w:r>
        <w:t xml:space="preserve">CVNA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units sold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~201,500 vs. cons 198,190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GAAP GPU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~$6,860 vs. cons $6,797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~$795M vs. cons $763.6M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~$3.20B vs. cons $2.99B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Retail units sold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~212,000 vs. cons 210,500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 of ~$3.20B vs. consensus</w:t>
            </w:r>
            <w:r>
              <w:t xml:space="preserve"> </w:t>
            </w:r>
            <m:oMath>
              <m:r>
                <m:t>2.99</m:t>
              </m:r>
              <m:r>
                <m:t>B</m:t>
              </m:r>
              <m:r>
                <m:t>w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y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1.73B vs. consensus ~$1.56B, driving positive out-period revisions rather than a post-beat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2026-07-29T01:46:03Z</dcterms:created>
  <dcterms:modified xsi:type="dcterms:W3CDTF">2026-07-29T01:46:03Z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