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carvana-cvna-q2-2026-earnings-preview"/>
    <w:p>
      <w:pPr>
        <w:pStyle w:val="Heading1"/>
      </w:pPr>
      <w:r>
        <w:t xml:space="preserve">Carvana (CVNA) Q2 2026 Earnings Preview</w:t>
      </w:r>
    </w:p>
    <w:p>
      <w:pPr>
        <w:pStyle w:val="BlockText"/>
      </w:pPr>
      <w:r>
        <w:rPr>
          <w:b/>
          <w:bCs/>
        </w:rPr>
        <w:t xml:space="preserve">Timing clarification:</w:t>
      </w:r>
      <w:r>
        <w:t xml:space="preserve"> </w:t>
      </w:r>
      <w:r>
        <w:t xml:space="preserve">Carvana is scheduled to report</w:t>
      </w:r>
      <w:r>
        <w:t xml:space="preserve"> </w:t>
      </w:r>
      <w:r>
        <w:rPr>
          <w:b/>
          <w:bCs/>
        </w:rPr>
        <w:t xml:space="preserve">after the market closes today, Wednesday, July 29, 2026</w:t>
      </w:r>
      <w:r>
        <w:t xml:space="preserve">, not tomorrow. The conference call begins at</w:t>
      </w:r>
      <w:r>
        <w:t xml:space="preserve"> </w:t>
      </w:r>
      <w:r>
        <w:rPr>
          <w:b/>
          <w:bCs/>
        </w:rPr>
        <w:t xml:space="preserve">5:30 p.m. ET</w:t>
      </w:r>
      <w:r>
        <w:t xml:space="preserve">. (</w:t>
      </w:r>
      <w:hyperlink r:id="rId9">
        <w:r>
          <w:rPr>
            <w:rStyle w:val="Hyperlink"/>
          </w:rPr>
          <w:t xml:space="preserve">morningstar.com</w:t>
        </w:r>
      </w:hyperlink>
      <w:r>
        <w:t xml:space="preserve">)</w:t>
      </w:r>
    </w:p>
    <w:bookmarkStart w:id="10" w:name="executive-view"/>
    <w:p>
      <w:pPr>
        <w:pStyle w:val="Heading2"/>
      </w:pPr>
      <w:r>
        <w:t xml:space="preserve">Executive view</w:t>
      </w:r>
    </w:p>
    <w:p>
      <w:pPr>
        <w:pStyle w:val="FirstParagraph"/>
      </w:pPr>
      <w:r>
        <w:t xml:space="preserve">Carvana enters Q2 with unusually clear—but demanding—expectations. Management already said both</w:t>
      </w:r>
      <w:r>
        <w:t xml:space="preserve"> </w:t>
      </w:r>
      <w:r>
        <w:rPr>
          <w:b/>
          <w:bCs/>
        </w:rPr>
        <w:t xml:space="preserve">retail units and adjusted EBITDA will exceed Q1’s records</w:t>
      </w:r>
      <w:r>
        <w:t xml:space="preserve">, so merely setting new records is unlikely to be enough. The market will want to see:</w:t>
      </w:r>
    </w:p>
    <w:p>
      <w:pPr>
        <w:pStyle w:val="Compact"/>
        <w:numPr>
          <w:ilvl w:val="0"/>
          <w:numId w:val="1001"/>
        </w:numPr>
      </w:pPr>
      <w:r>
        <w:t xml:space="preserve">Retail sales approaching or exceeding</w:t>
      </w:r>
      <w:r>
        <w:t xml:space="preserve"> </w:t>
      </w:r>
      <w:r>
        <w:rPr>
          <w:b/>
          <w:bCs/>
        </w:rPr>
        <w:t xml:space="preserve">200,000 units</w:t>
      </w:r>
      <w:r>
        <w:t xml:space="preserve">.</w:t>
      </w:r>
    </w:p>
    <w:p>
      <w:pPr>
        <w:pStyle w:val="Compact"/>
        <w:numPr>
          <w:ilvl w:val="0"/>
          <w:numId w:val="1001"/>
        </w:numPr>
      </w:pPr>
      <w:r>
        <w:t xml:space="preserve">Sequential improvement in retail gross profit per unit despite known year-over-year headwinds.</w:t>
      </w:r>
    </w:p>
    <w:p>
      <w:pPr>
        <w:pStyle w:val="Compact"/>
        <w:numPr>
          <w:ilvl w:val="0"/>
          <w:numId w:val="1001"/>
        </w:numPr>
      </w:pPr>
      <w:r>
        <w:t xml:space="preserve">Adjusted EBITDA comfortably above Q1’s</w:t>
      </w:r>
      <w:r>
        <w:t xml:space="preserve"> </w:t>
      </w:r>
      <w:r>
        <w:rPr>
          <w:b/>
          <w:bCs/>
        </w:rPr>
        <w:t xml:space="preserve">$672 million</w:t>
      </w:r>
      <w:r>
        <w:t xml:space="preserve">, rather than a marginal record.</w:t>
      </w:r>
    </w:p>
    <w:p>
      <w:pPr>
        <w:pStyle w:val="Compact"/>
        <w:numPr>
          <w:ilvl w:val="0"/>
          <w:numId w:val="1001"/>
        </w:numPr>
      </w:pPr>
      <w:r>
        <w:t xml:space="preserve">Evidence that reconditioning improvements are reaching the income statement.</w:t>
      </w:r>
    </w:p>
    <w:p>
      <w:pPr>
        <w:pStyle w:val="Compact"/>
        <w:numPr>
          <w:ilvl w:val="0"/>
          <w:numId w:val="1001"/>
        </w:numPr>
      </w:pPr>
      <w:r>
        <w:t xml:space="preserve">A constructive Q3 and full-year outlook that keeps Carvana on a high-growth trajectory.</w:t>
      </w:r>
    </w:p>
    <w:p>
      <w:pPr>
        <w:pStyle w:val="FirstParagraph"/>
      </w:pPr>
      <w:r>
        <w:t xml:space="preserve">The core debate is no longer whether Carvana can be profitable. It is whether the company can continue growing roughly 40% while protecting unit economics and avoiding new operational bottlenecks.</w:t>
      </w:r>
    </w:p>
    <w:p>
      <w:r>
        <w:pict>
          <v:rect style="width:0;height:1.5pt" o:hralign="center" o:hrstd="t" o:hr="t"/>
        </w:pict>
      </w:r>
    </w:p>
    <w:bookmarkEnd w:id="10"/>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 / hurdle</w:t>
            </w:r>
          </w:p>
        </w:tc>
        <w:tc>
          <w:tcPr/>
          <w:p>
            <w:pPr>
              <w:pStyle w:val="Compact"/>
              <w:jc w:val="right"/>
            </w:pPr>
            <w:r>
              <w:t xml:space="preserve">Q1 2026</w:t>
            </w:r>
          </w:p>
        </w:tc>
        <w:tc>
          <w:tcPr/>
          <w:p>
            <w:pPr>
              <w:pStyle w:val="Compact"/>
              <w:jc w:val="right"/>
            </w:pPr>
            <w:r>
              <w:t xml:space="preserve">Q2 2025</w:t>
            </w:r>
          </w:p>
        </w:tc>
      </w:tr>
      <w:tr>
        <w:tc>
          <w:tcPr/>
          <w:p>
            <w:pPr>
              <w:pStyle w:val="Compact"/>
            </w:pPr>
            <w:r>
              <w:t xml:space="preserve">Revenue</w:t>
            </w:r>
          </w:p>
        </w:tc>
        <w:tc>
          <w:tcPr/>
          <w:p>
            <w:pPr>
              <w:pStyle w:val="Compact"/>
              <w:jc w:val="right"/>
            </w:pPr>
            <w:r>
              <w:rPr>
                <w:b/>
                <w:bCs/>
              </w:rPr>
              <w:t xml:space="preserve">~</w:t>
            </w:r>
            <m:oMath>
              <m:r>
                <m:t>6.9</m:t>
              </m:r>
              <m:r>
                <m:rPr>
                  <m:sty m:val="p"/>
                </m:rPr>
                <m:t>–</m:t>
              </m:r>
            </m:oMath>
            <w:r>
              <w:rPr>
                <w:b/>
                <w:bCs/>
              </w:rPr>
              <w:t xml:space="preserve">7.0B consensus</w:t>
            </w:r>
          </w:p>
        </w:tc>
        <w:tc>
          <w:tcPr/>
          <w:p>
            <w:pPr>
              <w:pStyle w:val="Compact"/>
              <w:jc w:val="right"/>
            </w:pPr>
            <w:r>
              <w:t xml:space="preserve">$6.432B</w:t>
            </w:r>
          </w:p>
        </w:tc>
        <w:tc>
          <w:tcPr/>
          <w:p>
            <w:pPr>
              <w:pStyle w:val="Compact"/>
              <w:jc w:val="right"/>
            </w:pPr>
            <w:r>
              <w:t xml:space="preserve">$4.840B</w:t>
            </w:r>
          </w:p>
        </w:tc>
      </w:tr>
      <w:tr>
        <w:tc>
          <w:tcPr/>
          <w:p>
            <w:pPr>
              <w:pStyle w:val="Compact"/>
            </w:pPr>
            <w:r>
              <w:t xml:space="preserve">Retail units</w:t>
            </w:r>
          </w:p>
        </w:tc>
        <w:tc>
          <w:tcPr/>
          <w:p>
            <w:pPr>
              <w:pStyle w:val="Compact"/>
              <w:jc w:val="right"/>
            </w:pPr>
            <w:r>
              <w:rPr>
                <w:b/>
                <w:bCs/>
              </w:rPr>
              <w:t xml:space="preserve">198,190 consensus</w:t>
            </w:r>
          </w:p>
        </w:tc>
        <w:tc>
          <w:tcPr/>
          <w:p>
            <w:pPr>
              <w:pStyle w:val="Compact"/>
              <w:jc w:val="right"/>
            </w:pPr>
            <w:r>
              <w:t xml:space="preserve">187,393</w:t>
            </w:r>
          </w:p>
        </w:tc>
        <w:tc>
          <w:tcPr/>
          <w:p>
            <w:pPr>
              <w:pStyle w:val="Compact"/>
              <w:jc w:val="right"/>
            </w:pPr>
            <w:r>
              <w:t xml:space="preserve">143,280</w:t>
            </w:r>
          </w:p>
        </w:tc>
      </w:tr>
      <w:tr>
        <w:tc>
          <w:tcPr/>
          <w:p>
            <w:pPr>
              <w:pStyle w:val="Compact"/>
            </w:pPr>
            <w:r>
              <w:t xml:space="preserve">Total GAAP GPU</w:t>
            </w:r>
          </w:p>
        </w:tc>
        <w:tc>
          <w:tcPr/>
          <w:p>
            <w:pPr>
              <w:pStyle w:val="Compact"/>
              <w:jc w:val="right"/>
            </w:pPr>
            <w:r>
              <w:rPr>
                <w:b/>
                <w:bCs/>
              </w:rPr>
              <w:t xml:space="preserve">$6,797 consensus</w:t>
            </w:r>
          </w:p>
        </w:tc>
        <w:tc>
          <w:tcPr/>
          <w:p>
            <w:pPr>
              <w:pStyle w:val="Compact"/>
              <w:jc w:val="right"/>
            </w:pPr>
            <w:r>
              <w:t xml:space="preserve">$6,783</w:t>
            </w:r>
          </w:p>
        </w:tc>
        <w:tc>
          <w:tcPr/>
          <w:p>
            <w:pPr>
              <w:pStyle w:val="Compact"/>
              <w:jc w:val="right"/>
            </w:pPr>
            <w:r>
              <w:t xml:space="preserve">$7,426</w:t>
            </w:r>
          </w:p>
        </w:tc>
      </w:tr>
      <w:tr>
        <w:tc>
          <w:tcPr/>
          <w:p>
            <w:pPr>
              <w:pStyle w:val="Compact"/>
            </w:pPr>
            <w:r>
              <w:t xml:space="preserve">Retail GAAP GPU</w:t>
            </w:r>
          </w:p>
        </w:tc>
        <w:tc>
          <w:tcPr/>
          <w:p>
            <w:pPr>
              <w:pStyle w:val="Compact"/>
              <w:jc w:val="right"/>
            </w:pPr>
            <w:r>
              <w:rPr>
                <w:b/>
                <w:bCs/>
              </w:rPr>
              <w:t xml:space="preserve">$3,282 consensus</w:t>
            </w:r>
          </w:p>
        </w:tc>
        <w:tc>
          <w:tcPr/>
          <w:p>
            <w:pPr>
              <w:pStyle w:val="Compact"/>
              <w:jc w:val="right"/>
            </w:pPr>
            <w:r>
              <w:t xml:space="preserve">$3,165</w:t>
            </w:r>
          </w:p>
        </w:tc>
        <w:tc>
          <w:tcPr/>
          <w:p>
            <w:pPr>
              <w:pStyle w:val="Compact"/>
              <w:jc w:val="right"/>
            </w:pPr>
            <w:r>
              <w:t xml:space="preserve">$3,636</w:t>
            </w:r>
          </w:p>
        </w:tc>
      </w:tr>
      <w:tr>
        <w:tc>
          <w:tcPr/>
          <w:p>
            <w:pPr>
              <w:pStyle w:val="Compact"/>
            </w:pPr>
            <w:r>
              <w:t xml:space="preserve">Other GAAP GPU</w:t>
            </w:r>
          </w:p>
        </w:tc>
        <w:tc>
          <w:tcPr/>
          <w:p>
            <w:pPr>
              <w:pStyle w:val="Compact"/>
              <w:jc w:val="right"/>
            </w:pPr>
            <w:r>
              <w:rPr>
                <w:b/>
                <w:bCs/>
              </w:rPr>
              <w:t xml:space="preserve">$2,854 consensus</w:t>
            </w:r>
          </w:p>
        </w:tc>
        <w:tc>
          <w:tcPr/>
          <w:p>
            <w:pPr>
              <w:pStyle w:val="Compact"/>
              <w:jc w:val="right"/>
            </w:pPr>
            <w:r>
              <w:t xml:space="preserve">$2,807</w:t>
            </w:r>
          </w:p>
        </w:tc>
        <w:tc>
          <w:tcPr/>
          <w:p>
            <w:pPr>
              <w:pStyle w:val="Compact"/>
              <w:jc w:val="right"/>
            </w:pPr>
            <w:r>
              <w:t xml:space="preserve">$2,869</w:t>
            </w:r>
          </w:p>
        </w:tc>
      </w:tr>
      <w:tr>
        <w:tc>
          <w:tcPr/>
          <w:p>
            <w:pPr>
              <w:pStyle w:val="Compact"/>
            </w:pPr>
            <w:r>
              <w:t xml:space="preserve">Adjusted EBITDA</w:t>
            </w:r>
          </w:p>
        </w:tc>
        <w:tc>
          <w:tcPr/>
          <w:p>
            <w:pPr>
              <w:pStyle w:val="Compact"/>
              <w:jc w:val="right"/>
            </w:pPr>
            <w:r>
              <w:t xml:space="preserve">Must exceed</w:t>
            </w:r>
            <w:r>
              <w:t xml:space="preserve"> </w:t>
            </w:r>
            <w:r>
              <w:rPr>
                <w:b/>
                <w:bCs/>
              </w:rPr>
              <w:t xml:space="preserve">$672M</w:t>
            </w:r>
            <w:r>
              <w:t xml:space="preserve"> </w:t>
            </w:r>
            <w:r>
              <w:t xml:space="preserve">under management’s outlook</w:t>
            </w:r>
          </w:p>
        </w:tc>
        <w:tc>
          <w:tcPr/>
          <w:p>
            <w:pPr>
              <w:pStyle w:val="Compact"/>
              <w:jc w:val="right"/>
            </w:pPr>
            <w:r>
              <w:t xml:space="preserve">$672M</w:t>
            </w:r>
          </w:p>
        </w:tc>
        <w:tc>
          <w:tcPr/>
          <w:p>
            <w:pPr>
              <w:pStyle w:val="Compact"/>
              <w:jc w:val="right"/>
            </w:pPr>
            <w:r>
              <w:t xml:space="preserve">$601M</w:t>
            </w:r>
          </w:p>
        </w:tc>
      </w:tr>
      <w:tr>
        <w:tc>
          <w:tcPr/>
          <w:p>
            <w:pPr>
              <w:pStyle w:val="Compact"/>
            </w:pPr>
            <w:r>
              <w:t xml:space="preserve">Adjusted EBITDA margin</w:t>
            </w:r>
          </w:p>
        </w:tc>
        <w:tc>
          <w:tcPr/>
          <w:p>
            <w:pPr>
              <w:pStyle w:val="Compact"/>
              <w:jc w:val="right"/>
            </w:pPr>
            <w:r>
              <w:t xml:space="preserve">No explicit company target</w:t>
            </w:r>
          </w:p>
        </w:tc>
        <w:tc>
          <w:tcPr/>
          <w:p>
            <w:pPr>
              <w:pStyle w:val="Compact"/>
              <w:jc w:val="right"/>
            </w:pPr>
            <w:r>
              <w:t xml:space="preserve">10.4%</w:t>
            </w:r>
          </w:p>
        </w:tc>
        <w:tc>
          <w:tcPr/>
          <w:p>
            <w:pPr>
              <w:pStyle w:val="Compact"/>
              <w:jc w:val="right"/>
            </w:pPr>
            <w:r>
              <w:t xml:space="preserve">12.4%</w:t>
            </w:r>
          </w:p>
        </w:tc>
      </w:tr>
    </w:tbl>
    <w:p>
      <w:pPr>
        <w:pStyle w:val="BodyText"/>
      </w:pPr>
      <w:r>
        <w:t xml:space="preserve">Wall Street’s current estimates imply approximately</w:t>
      </w:r>
      <w:r>
        <w:t xml:space="preserve"> </w:t>
      </w:r>
      <w:r>
        <w:rPr>
          <w:b/>
          <w:bCs/>
        </w:rPr>
        <w:t xml:space="preserve">38% year-over-year retail-unit growth</w:t>
      </w:r>
      <w:r>
        <w:t xml:space="preserve">, but only about</w:t>
      </w:r>
      <w:r>
        <w:t xml:space="preserve"> </w:t>
      </w:r>
      <w:r>
        <w:rPr>
          <w:b/>
          <w:bCs/>
        </w:rPr>
        <w:t xml:space="preserve">6% sequential growth</w:t>
      </w:r>
      <w:r>
        <w:t xml:space="preserve">. Consensus revenue of roughly</w:t>
      </w:r>
      <w:r>
        <w:t xml:space="preserve"> </w:t>
      </w:r>
      <m:oMath>
        <m:r>
          <m:t>6.97</m:t>
        </m:r>
        <m:r>
          <m:t>b</m:t>
        </m:r>
        <m:r>
          <m:t>i</m:t>
        </m:r>
        <m:r>
          <m:t>l</m:t>
        </m:r>
        <m:r>
          <m:t>l</m:t>
        </m:r>
        <m:r>
          <m:t>i</m:t>
        </m:r>
        <m:r>
          <m:t>o</m:t>
        </m:r>
        <m:r>
          <m:t>n</m:t>
        </m:r>
        <m:r>
          <m:t>r</m:t>
        </m:r>
        <m:r>
          <m:t>e</m:t>
        </m:r>
        <m:r>
          <m:t>p</m:t>
        </m:r>
        <m:r>
          <m:t>r</m:t>
        </m:r>
        <m:r>
          <m:t>e</m:t>
        </m:r>
        <m:r>
          <m:t>s</m:t>
        </m:r>
        <m:r>
          <m:t>e</m:t>
        </m:r>
        <m:r>
          <m:t>n</m:t>
        </m:r>
        <m:r>
          <m:t>t</m:t>
        </m:r>
        <m:r>
          <m:t>s</m:t>
        </m:r>
        <m:r>
          <m:t>a</m:t>
        </m:r>
        <m:r>
          <m:t>b</m:t>
        </m:r>
        <m:r>
          <m:t>o</m:t>
        </m:r>
        <m:r>
          <m:t>u</m:t>
        </m:r>
        <m:r>
          <m:t>t</m:t>
        </m:r>
        <m:r>
          <m:t>44</m:t>
        </m:r>
      </m:oMath>
      <w:r>
        <w:t xml:space="preserve">0.38 to $0.42**, although EPS is less useful than units, GPU and adjusted EBITDA because of Carvana’s ownership structure and non-operating fair-value items. (</w:t>
      </w:r>
      <w:hyperlink r:id="rId11">
        <w:r>
          <w:rPr>
            <w:rStyle w:val="Hyperlink"/>
          </w:rPr>
          <w:t xml:space="preserve">zacks.com</w:t>
        </w:r>
      </w:hyperlink>
      <w:r>
        <w:t xml:space="preserve">)</w:t>
      </w:r>
    </w:p>
    <w:p>
      <w:r>
        <w:pict>
          <v:rect style="width:0;height:1.5pt" o:hralign="center" o:hrstd="t" o:hr="t"/>
        </w:pict>
      </w:r>
    </w:p>
    <w:bookmarkEnd w:id="12"/>
    <w:bookmarkStart w:id="16" w:name="Xf7ab7e0c492937e0c130eae6be235bc007399aa"/>
    <w:p>
      <w:pPr>
        <w:pStyle w:val="Heading2"/>
      </w:pPr>
      <w:r>
        <w:t xml:space="preserve">1. Retail units: the first and most important test</w:t>
      </w:r>
    </w:p>
    <w:p>
      <w:pPr>
        <w:pStyle w:val="FirstParagraph"/>
      </w:pPr>
      <w:r>
        <w:t xml:space="preserve">Q1 retail sales reached</w:t>
      </w:r>
      <w:r>
        <w:t xml:space="preserve"> </w:t>
      </w:r>
      <w:r>
        <w:rPr>
          <w:b/>
          <w:bCs/>
        </w:rPr>
        <w:t xml:space="preserve">187,393 units</w:t>
      </w:r>
      <w:r>
        <w:t xml:space="preserve">, up 40% year over year. Management guided to another sequential record in Q2, placing the absolute floor above that figure. Consensus of roughly 198,000 units would extend Carvana’s run of approximately 40% growth, but the buy-side bar may be closer to—or above—</w:t>
      </w:r>
      <w:r>
        <w:rPr>
          <w:b/>
          <w:bCs/>
        </w:rPr>
        <w:t xml:space="preserve">200,000 units</w:t>
      </w:r>
      <w:r>
        <w:t xml:space="preserve">. (</w:t>
      </w:r>
      <w:hyperlink r:id="rId13">
        <w:r>
          <w:rPr>
            <w:rStyle w:val="Hyperlink"/>
          </w:rPr>
          <w:t xml:space="preserve">sec.gov</w:t>
        </w:r>
      </w:hyperlink>
      <w:r>
        <w:t xml:space="preserve">)</w:t>
      </w:r>
    </w:p>
    <w:p>
      <w:pPr>
        <w:pStyle w:val="BodyText"/>
      </w:pPr>
      <w:r>
        <w:t xml:space="preserve">A strong unit result would support several elements of the thesis:</w:t>
      </w:r>
    </w:p>
    <w:p>
      <w:pPr>
        <w:pStyle w:val="Compact"/>
        <w:numPr>
          <w:ilvl w:val="0"/>
          <w:numId w:val="1002"/>
        </w:numPr>
      </w:pPr>
      <w:r>
        <w:t xml:space="preserve">Carvana continues taking substantial share in an otherwise mature used-car market.</w:t>
      </w:r>
    </w:p>
    <w:p>
      <w:pPr>
        <w:pStyle w:val="Compact"/>
        <w:numPr>
          <w:ilvl w:val="0"/>
          <w:numId w:val="1002"/>
        </w:numPr>
      </w:pPr>
      <w:r>
        <w:t xml:space="preserve">Advertising and brand investment are producing demand.</w:t>
      </w:r>
    </w:p>
    <w:p>
      <w:pPr>
        <w:pStyle w:val="Compact"/>
        <w:numPr>
          <w:ilvl w:val="0"/>
          <w:numId w:val="1002"/>
        </w:numPr>
      </w:pPr>
      <w:r>
        <w:t xml:space="preserve">Reconditioning and inventory availability are not materially constraining sales.</w:t>
      </w:r>
    </w:p>
    <w:p>
      <w:pPr>
        <w:pStyle w:val="Compact"/>
        <w:numPr>
          <w:ilvl w:val="0"/>
          <w:numId w:val="1002"/>
        </w:numPr>
      </w:pPr>
      <w:r>
        <w:t xml:space="preserve">The company’s infrastructure can absorb rapid growth without service deterioration.</w:t>
      </w:r>
    </w:p>
    <w:p>
      <w:pPr>
        <w:pStyle w:val="FirstParagraph"/>
      </w:pPr>
      <w:r>
        <w:t xml:space="preserve">The quality of growth also matters. Investors should distinguish between unit growth, reported retail revenue and underlying vehicle economics. Q1 revenue growth exceeded unit growth partly because some vehicles sourced from a large retail marketplace partner received gross rather than net revenue accounting. As a result,</w:t>
      </w:r>
      <w:r>
        <w:t xml:space="preserve"> </w:t>
      </w:r>
      <w:r>
        <w:rPr>
          <w:b/>
          <w:bCs/>
        </w:rPr>
        <w:t xml:space="preserve">units and gross profit dollars are cleaner indicators than revenue alone</w:t>
      </w:r>
      <w:r>
        <w:t xml:space="preserve">. (</w:t>
      </w:r>
      <w:hyperlink r:id="rId14">
        <w:r>
          <w:rPr>
            <w:rStyle w:val="Hyperlink"/>
          </w:rPr>
          <w:t xml:space="preserve">sec.gov</w:t>
        </w:r>
      </w:hyperlink>
      <w:r>
        <w:t xml:space="preserve">)</w:t>
      </w:r>
    </w:p>
    <w:bookmarkStart w:id="15" w:name="what-would-count-as-strong"/>
    <w:p>
      <w:pPr>
        <w:pStyle w:val="Heading3"/>
      </w:pPr>
      <w:r>
        <w:t xml:space="preserve">What would count as strong?</w:t>
      </w:r>
    </w:p>
    <w:p>
      <w:pPr>
        <w:pStyle w:val="Compact"/>
        <w:numPr>
          <w:ilvl w:val="0"/>
          <w:numId w:val="1003"/>
        </w:numPr>
      </w:pPr>
      <w:r>
        <w:rPr>
          <w:b/>
          <w:bCs/>
        </w:rPr>
        <w:t xml:space="preserve">Above 200,000 units:</w:t>
      </w:r>
      <w:r>
        <w:t xml:space="preserve"> </w:t>
      </w:r>
      <w:r>
        <w:t xml:space="preserve">likely viewed positively.</w:t>
      </w:r>
    </w:p>
    <w:p>
      <w:pPr>
        <w:pStyle w:val="Compact"/>
        <w:numPr>
          <w:ilvl w:val="0"/>
          <w:numId w:val="1003"/>
        </w:numPr>
      </w:pPr>
      <w:r>
        <w:rPr>
          <w:b/>
          <w:bCs/>
        </w:rPr>
        <w:t xml:space="preserve">195,000–200,000:</w:t>
      </w:r>
      <w:r>
        <w:t xml:space="preserve"> </w:t>
      </w:r>
      <w:r>
        <w:t xml:space="preserve">broadly acceptable, depending on margins and guidance.</w:t>
      </w:r>
    </w:p>
    <w:p>
      <w:pPr>
        <w:pStyle w:val="Compact"/>
        <w:numPr>
          <w:ilvl w:val="0"/>
          <w:numId w:val="1003"/>
        </w:numPr>
      </w:pPr>
      <w:r>
        <w:rPr>
          <w:b/>
          <w:bCs/>
        </w:rPr>
        <w:t xml:space="preserve">Below 195,000:</w:t>
      </w:r>
      <w:r>
        <w:t xml:space="preserve"> </w:t>
      </w:r>
      <w:r>
        <w:t xml:space="preserve">would raise questions about demand, inventory or operating capacity—even though it would still represent a sequential record.</w:t>
      </w:r>
    </w:p>
    <w:p>
      <w:r>
        <w:pict>
          <v:rect style="width:0;height:1.5pt" o:hralign="center" o:hrstd="t" o:hr="t"/>
        </w:pict>
      </w:r>
    </w:p>
    <w:bookmarkEnd w:id="15"/>
    <w:bookmarkEnd w:id="16"/>
    <w:bookmarkStart w:id="19" w:name="X5a5f8c9efc87f4efd2aa4b5ed93b5e903f4ecc7"/>
    <w:p>
      <w:pPr>
        <w:pStyle w:val="Heading2"/>
      </w:pPr>
      <w:r>
        <w:t xml:space="preserve">2. GPU: sequential improvement is expected, but the year-over-year comparison is difficult</w:t>
      </w:r>
    </w:p>
    <w:p>
      <w:pPr>
        <w:pStyle w:val="FirstParagraph"/>
      </w:pPr>
      <w:r>
        <w:t xml:space="preserve">This is likely the most important line in the report.</w:t>
      </w:r>
    </w:p>
    <w:p>
      <w:pPr>
        <w:pStyle w:val="BodyText"/>
      </w:pPr>
      <w:r>
        <w:t xml:space="preserve">Management expects retail GPU to increase from Q1’s level but decline year over year. It identified several specific Q2 headwinds:</w:t>
      </w:r>
    </w:p>
    <w:p>
      <w:pPr>
        <w:pStyle w:val="Compact"/>
        <w:numPr>
          <w:ilvl w:val="0"/>
          <w:numId w:val="1004"/>
        </w:numPr>
      </w:pPr>
      <w:r>
        <w:t xml:space="preserve">Roughly</w:t>
      </w:r>
      <w:r>
        <w:t xml:space="preserve"> </w:t>
      </w:r>
      <w:r>
        <w:rPr>
          <w:b/>
          <w:bCs/>
        </w:rPr>
        <w:t xml:space="preserve">$100 per unit</w:t>
      </w:r>
      <w:r>
        <w:t xml:space="preserve"> </w:t>
      </w:r>
      <w:r>
        <w:t xml:space="preserve">of tariff-related benefit in the prior-year comparison.</w:t>
      </w:r>
    </w:p>
    <w:p>
      <w:pPr>
        <w:pStyle w:val="Compact"/>
        <w:numPr>
          <w:ilvl w:val="0"/>
          <w:numId w:val="1004"/>
        </w:numPr>
      </w:pPr>
      <w:r>
        <w:t xml:space="preserve">Lower shipping-fee revenue.</w:t>
      </w:r>
    </w:p>
    <w:p>
      <w:pPr>
        <w:pStyle w:val="Compact"/>
        <w:numPr>
          <w:ilvl w:val="0"/>
          <w:numId w:val="1004"/>
        </w:numPr>
      </w:pPr>
      <w:r>
        <w:t xml:space="preserve">Higher non-vehicle costs.</w:t>
      </w:r>
    </w:p>
    <w:p>
      <w:pPr>
        <w:pStyle w:val="Compact"/>
        <w:numPr>
          <w:ilvl w:val="0"/>
          <w:numId w:val="1004"/>
        </w:numPr>
      </w:pPr>
      <w:r>
        <w:t xml:space="preserve">Approximately</w:t>
      </w:r>
      <w:r>
        <w:t xml:space="preserve"> </w:t>
      </w:r>
      <m:oMath>
        <m:r>
          <m:t>100</m:t>
        </m:r>
        <m:r>
          <m:rPr>
            <m:sty m:val="p"/>
          </m:rPr>
          <m:t>–</m:t>
        </m:r>
      </m:oMath>
      <w:r>
        <w:rPr>
          <w:b/>
          <w:bCs/>
        </w:rPr>
        <w:t xml:space="preserve">200 per unit</w:t>
      </w:r>
      <w:r>
        <w:t xml:space="preserve"> </w:t>
      </w:r>
      <w:r>
        <w:t xml:space="preserve">from narrower wholesale-to-retail vehicle spreads.</w:t>
      </w:r>
    </w:p>
    <w:p>
      <w:pPr>
        <w:pStyle w:val="FirstParagraph"/>
      </w:pPr>
      <w:r>
        <w:t xml:space="preserve">The spread pressure developed after wholesale prices rose rapidly and retail prices adjusted more slowly. Management described the issue as likely transitory, but Q2 should show whether that normalization actually began. (</w:t>
      </w:r>
      <w:hyperlink r:id="rId17">
        <w:r>
          <w:rPr>
            <w:rStyle w:val="Hyperlink"/>
          </w:rPr>
          <w:t xml:space="preserve">zacks.com</w:t>
        </w:r>
      </w:hyperlink>
      <w:r>
        <w:t xml:space="preserve">)</w:t>
      </w:r>
    </w:p>
    <w:p>
      <w:pPr>
        <w:pStyle w:val="BodyText"/>
      </w:pPr>
      <w:r>
        <w:t xml:space="preserve">Consensus calls for:</w:t>
      </w:r>
    </w:p>
    <w:p>
      <w:pPr>
        <w:pStyle w:val="Compact"/>
        <w:numPr>
          <w:ilvl w:val="0"/>
          <w:numId w:val="1005"/>
        </w:numPr>
      </w:pPr>
      <w:r>
        <w:rPr>
          <w:b/>
          <w:bCs/>
        </w:rPr>
        <w:t xml:space="preserve">Total GAAP GPU:</w:t>
      </w:r>
      <w:r>
        <w:t xml:space="preserve"> </w:t>
      </w:r>
      <w:r>
        <w:t xml:space="preserve">approximately $6,797, nearly flat sequentially but down about $629 year over year.</w:t>
      </w:r>
    </w:p>
    <w:p>
      <w:pPr>
        <w:pStyle w:val="Compact"/>
        <w:numPr>
          <w:ilvl w:val="0"/>
          <w:numId w:val="1005"/>
        </w:numPr>
      </w:pPr>
      <w:r>
        <w:rPr>
          <w:b/>
          <w:bCs/>
        </w:rPr>
        <w:t xml:space="preserve">Retail GAAP GPU:</w:t>
      </w:r>
      <w:r>
        <w:t xml:space="preserve"> </w:t>
      </w:r>
      <w:r>
        <w:t xml:space="preserve">approximately $3,282, up from $3,165 in Q1 but below $3,636 last year.</w:t>
      </w:r>
    </w:p>
    <w:p>
      <w:pPr>
        <w:pStyle w:val="Compact"/>
        <w:numPr>
          <w:ilvl w:val="0"/>
          <w:numId w:val="1005"/>
        </w:numPr>
      </w:pPr>
      <w:r>
        <w:rPr>
          <w:b/>
          <w:bCs/>
        </w:rPr>
        <w:t xml:space="preserve">Other GAAP GPU:</w:t>
      </w:r>
      <w:r>
        <w:t xml:space="preserve"> </w:t>
      </w:r>
      <w:r>
        <w:t xml:space="preserve">approximately $2,854, roughly stable year over year. (</w:t>
      </w:r>
      <w:hyperlink r:id="rId11">
        <w:r>
          <w:rPr>
            <w:rStyle w:val="Hyperlink"/>
          </w:rPr>
          <w:t xml:space="preserve">zacks.com</w:t>
        </w:r>
      </w:hyperlink>
      <w:r>
        <w:t xml:space="preserve">)</w:t>
      </w:r>
    </w:p>
    <w:bookmarkStart w:id="18" w:name="the-key-interpretation"/>
    <w:p>
      <w:pPr>
        <w:pStyle w:val="Heading3"/>
      </w:pPr>
      <w:r>
        <w:t xml:space="preserve">The key interpretation</w:t>
      </w:r>
    </w:p>
    <w:p>
      <w:pPr>
        <w:pStyle w:val="FirstParagraph"/>
      </w:pPr>
      <w:r>
        <w:t xml:space="preserve">A year-over-year GPU decline should not automatically be viewed as a miss: management has already framed that outcome. The real questions are:</w:t>
      </w:r>
    </w:p>
    <w:p>
      <w:pPr>
        <w:pStyle w:val="Compact"/>
        <w:numPr>
          <w:ilvl w:val="0"/>
          <w:numId w:val="1006"/>
        </w:numPr>
      </w:pPr>
      <w:r>
        <w:t xml:space="preserve">Did retail GPU improve sequentially?</w:t>
      </w:r>
    </w:p>
    <w:p>
      <w:pPr>
        <w:pStyle w:val="Compact"/>
        <w:numPr>
          <w:ilvl w:val="0"/>
          <w:numId w:val="1006"/>
        </w:numPr>
      </w:pPr>
      <w:r>
        <w:t xml:space="preserve">Was the wholesale-to-retail spread impact contained within the expected</w:t>
      </w:r>
      <w:r>
        <w:t xml:space="preserve"> </w:t>
      </w:r>
      <m:oMath>
        <m:r>
          <m:t>100</m:t>
        </m:r>
        <m:r>
          <m:rPr>
            <m:sty m:val="p"/>
          </m:rPr>
          <m:t>–</m:t>
        </m:r>
      </m:oMath>
      <w:r>
        <w:t xml:space="preserve">200 range?</w:t>
      </w:r>
    </w:p>
    <w:p>
      <w:pPr>
        <w:pStyle w:val="Compact"/>
        <w:numPr>
          <w:ilvl w:val="0"/>
          <w:numId w:val="1006"/>
        </w:numPr>
      </w:pPr>
      <w:r>
        <w:t xml:space="preserve">Did better reconditioning efficiency begin to offset the headwinds?</w:t>
      </w:r>
    </w:p>
    <w:p>
      <w:pPr>
        <w:pStyle w:val="Compact"/>
        <w:numPr>
          <w:ilvl w:val="0"/>
          <w:numId w:val="1006"/>
        </w:numPr>
      </w:pPr>
      <w:r>
        <w:t xml:space="preserve">Did Carvana sacrifice additional financing or vehicle margin to support unit growth?</w:t>
      </w:r>
    </w:p>
    <w:p>
      <w:pPr>
        <w:pStyle w:val="FirstParagraph"/>
      </w:pPr>
      <w:r>
        <w:t xml:space="preserve">At approximately 198,000 retail units, every</w:t>
      </w:r>
      <w:r>
        <w:t xml:space="preserve"> </w:t>
      </w:r>
      <w:r>
        <w:rPr>
          <w:b/>
          <w:bCs/>
        </w:rPr>
        <w:t xml:space="preserve">$100 of per-unit economics is worth nearly $20 million per quarter</w:t>
      </w:r>
      <w:r>
        <w:t xml:space="preserve">. Small-looking GPU or SG&amp;A deviations can therefore materially affect EBITDA.</w:t>
      </w:r>
    </w:p>
    <w:p>
      <w:r>
        <w:pict>
          <v:rect style="width:0;height:1.5pt" o:hralign="center" o:hrstd="t" o:hr="t"/>
        </w:pict>
      </w:r>
    </w:p>
    <w:bookmarkEnd w:id="18"/>
    <w:bookmarkEnd w:id="19"/>
    <w:bookmarkStart w:id="20" w:name="Xe5e4593fb9d0aa34e0934bcf492095a815730a8"/>
    <w:p>
      <w:pPr>
        <w:pStyle w:val="Heading2"/>
      </w:pPr>
      <w:r>
        <w:t xml:space="preserve">3. Reconditioning: Q2 should provide the first financial proof</w:t>
      </w:r>
    </w:p>
    <w:p>
      <w:pPr>
        <w:pStyle w:val="FirstParagraph"/>
      </w:pPr>
      <w:r>
        <w:t xml:space="preserve">Carvana experienced higher reconditioning costs during late 2025 and Q1 2026. Management responded by centralizing labor planning, improving training and rolling out new software tools to allocate labor and identify production bottlenecks.</w:t>
      </w:r>
    </w:p>
    <w:p>
      <w:pPr>
        <w:pStyle w:val="BodyText"/>
      </w:pPr>
      <w:r>
        <w:t xml:space="preserve">On the Q1 call, management said April labor hours per unit were running just below Carvana’s historical best. It also warned that the savings would take time to appear in reported GPU because vehicles carry the reconditioning cost incurred when they were produced, not when they are ultimately sold.</w:t>
      </w:r>
    </w:p>
    <w:p>
      <w:pPr>
        <w:pStyle w:val="BodyText"/>
      </w:pPr>
      <w:r>
        <w:t xml:space="preserve">That makes Q2 a transition quarter. Investors should look for:</w:t>
      </w:r>
    </w:p>
    <w:p>
      <w:pPr>
        <w:pStyle w:val="Compact"/>
        <w:numPr>
          <w:ilvl w:val="0"/>
          <w:numId w:val="1007"/>
        </w:numPr>
      </w:pPr>
      <w:r>
        <w:t xml:space="preserve">Sequential improvement in retail GPU.</w:t>
      </w:r>
    </w:p>
    <w:p>
      <w:pPr>
        <w:pStyle w:val="Compact"/>
        <w:numPr>
          <w:ilvl w:val="0"/>
          <w:numId w:val="1007"/>
        </w:numPr>
      </w:pPr>
      <w:r>
        <w:t xml:space="preserve">Commentary that labor-hours-per-unit gains persisted beyond April.</w:t>
      </w:r>
    </w:p>
    <w:p>
      <w:pPr>
        <w:pStyle w:val="Compact"/>
        <w:numPr>
          <w:ilvl w:val="0"/>
          <w:numId w:val="1007"/>
        </w:numPr>
      </w:pPr>
      <w:r>
        <w:t xml:space="preserve">A narrower performance gap between the best and worst reconditioning facilities.</w:t>
      </w:r>
    </w:p>
    <w:p>
      <w:pPr>
        <w:pStyle w:val="Compact"/>
        <w:numPr>
          <w:ilvl w:val="0"/>
          <w:numId w:val="1007"/>
        </w:numPr>
      </w:pPr>
      <w:r>
        <w:t xml:space="preserve">No deterioration in vehicle quality, return rates or customer experience.</w:t>
      </w:r>
    </w:p>
    <w:p>
      <w:pPr>
        <w:pStyle w:val="Compact"/>
        <w:numPr>
          <w:ilvl w:val="0"/>
          <w:numId w:val="1007"/>
        </w:numPr>
      </w:pPr>
      <w:r>
        <w:t xml:space="preserve">Evidence that new and recently integrated sites can scale without repeating the earlier cost problem.</w:t>
      </w:r>
    </w:p>
    <w:p>
      <w:pPr>
        <w:pStyle w:val="FirstParagraph"/>
      </w:pPr>
      <w:r>
        <w:t xml:space="preserve">A clean Q2 would suggest the Q4/Q1 cost pressure was an execution issue that has been addressed. A disappointing result would revive concerns that 40% growth is exceeding Carvana’s ability to scale operations consistently.</w:t>
      </w:r>
    </w:p>
    <w:p>
      <w:r>
        <w:pict>
          <v:rect style="width:0;height:1.5pt" o:hralign="center" o:hrstd="t" o:hr="t"/>
        </w:pict>
      </w:r>
    </w:p>
    <w:bookmarkEnd w:id="20"/>
    <w:bookmarkStart w:id="21" w:name="X2b0b0ffe2839dbc1f270bd09d6858bda3df4708"/>
    <w:p>
      <w:pPr>
        <w:pStyle w:val="Heading2"/>
      </w:pPr>
      <w:r>
        <w:t xml:space="preserve">4. Adjusted EBITDA: a record is already embedded in guidance</w:t>
      </w:r>
    </w:p>
    <w:p>
      <w:pPr>
        <w:pStyle w:val="FirstParagraph"/>
      </w:pPr>
      <w:r>
        <w:t xml:space="preserve">Q1 adjusted EBITDA was</w:t>
      </w:r>
      <w:r>
        <w:t xml:space="preserve"> </w:t>
      </w:r>
      <w:r>
        <w:rPr>
          <w:b/>
          <w:bCs/>
        </w:rPr>
        <w:t xml:space="preserve">$672 million</w:t>
      </w:r>
      <w:r>
        <w:t xml:space="preserve">, with a 10.4% margin. Management explicitly expects Q2 adjusted EBITDA to increase sequentially and reach another record. Therefore, $673 million would technically satisfy guidance but would probably be viewed as weak. (</w:t>
      </w:r>
      <w:hyperlink r:id="rId13">
        <w:r>
          <w:rPr>
            <w:rStyle w:val="Hyperlink"/>
          </w:rPr>
          <w:t xml:space="preserve">sec.gov</w:t>
        </w:r>
      </w:hyperlink>
      <w:r>
        <w:t xml:space="preserve">)</w:t>
      </w:r>
    </w:p>
    <w:p>
      <w:pPr>
        <w:pStyle w:val="BodyText"/>
      </w:pPr>
      <w:r>
        <w:t xml:space="preserve">A reasonable investor framework is:</w:t>
      </w:r>
    </w:p>
    <w:p>
      <w:pPr>
        <w:pStyle w:val="Compact"/>
        <w:numPr>
          <w:ilvl w:val="0"/>
          <w:numId w:val="1008"/>
        </w:numPr>
      </w:pPr>
      <w:r>
        <w:rPr>
          <w:b/>
          <w:bCs/>
        </w:rPr>
        <w:t xml:space="preserve">Above roughly</w:t>
      </w:r>
      <w:r>
        <w:rPr>
          <w:b/>
          <w:bCs/>
        </w:rPr>
        <w:t xml:space="preserve"> </w:t>
      </w:r>
      <m:oMath>
        <m:r>
          <m:t>725</m:t>
        </m:r>
        <m:r>
          <m:rPr>
            <m:sty m:val="p"/>
          </m:rPr>
          <m:t>–</m:t>
        </m:r>
      </m:oMath>
      <w:r>
        <w:rPr>
          <w:b/>
          <w:bCs/>
        </w:rPr>
        <w:t xml:space="preserve">750 million:</w:t>
      </w:r>
      <w:r>
        <w:t xml:space="preserve"> </w:t>
      </w:r>
      <w:r>
        <w:t xml:space="preserve">strong execution, particularly if paired with 200,000-plus units.</w:t>
      </w:r>
    </w:p>
    <w:p>
      <w:pPr>
        <w:pStyle w:val="Compact"/>
        <w:numPr>
          <w:ilvl w:val="0"/>
          <w:numId w:val="1008"/>
        </w:numPr>
      </w:pPr>
      <w:r>
        <w:rPr>
          <w:b/>
          <w:bCs/>
        </w:rPr>
        <w:t xml:space="preserve">Approximately</w:t>
      </w:r>
      <w:r>
        <w:rPr>
          <w:b/>
          <w:bCs/>
        </w:rPr>
        <w:t xml:space="preserve"> </w:t>
      </w:r>
      <m:oMath>
        <m:r>
          <m:t>690</m:t>
        </m:r>
        <m:r>
          <m:rPr>
            <m:sty m:val="p"/>
          </m:rPr>
          <m:t>–</m:t>
        </m:r>
      </m:oMath>
      <w:r>
        <w:rPr>
          <w:b/>
          <w:bCs/>
        </w:rPr>
        <w:t xml:space="preserve">725 million:</w:t>
      </w:r>
      <w:r>
        <w:t xml:space="preserve"> </w:t>
      </w:r>
      <w:r>
        <w:t xml:space="preserve">credible but dependent on the outlook.</w:t>
      </w:r>
    </w:p>
    <w:p>
      <w:pPr>
        <w:pStyle w:val="Compact"/>
        <w:numPr>
          <w:ilvl w:val="0"/>
          <w:numId w:val="1008"/>
        </w:numPr>
      </w:pPr>
      <w:r>
        <w:rPr>
          <w:b/>
          <w:bCs/>
        </w:rPr>
        <w:t xml:space="preserve">Barely above $672 million:</w:t>
      </w:r>
      <w:r>
        <w:t xml:space="preserve"> </w:t>
      </w:r>
      <w:r>
        <w:t xml:space="preserve">likely disappointing given Q2 seasonality and higher volume.</w:t>
      </w:r>
    </w:p>
    <w:p>
      <w:pPr>
        <w:pStyle w:val="Compact"/>
        <w:numPr>
          <w:ilvl w:val="0"/>
          <w:numId w:val="1008"/>
        </w:numPr>
      </w:pPr>
      <w:r>
        <w:rPr>
          <w:b/>
          <w:bCs/>
        </w:rPr>
        <w:t xml:space="preserve">Below $672 million:</w:t>
      </w:r>
      <w:r>
        <w:t xml:space="preserve"> </w:t>
      </w:r>
      <w:r>
        <w:t xml:space="preserve">clear failure to deliver the stated outlook, absent an exceptional explanation.</w:t>
      </w:r>
    </w:p>
    <w:p>
      <w:pPr>
        <w:pStyle w:val="FirstParagraph"/>
      </w:pPr>
      <w:r>
        <w:t xml:space="preserve">Margin should be interpreted carefully because gross revenue accounting for marketplace-partner vehicles can raise reported revenue without a proportionate change in economics. The more useful operating bridge is:</w:t>
      </w:r>
    </w:p>
    <w:p>
      <w:pPr>
        <w:pStyle w:val="BlockText"/>
      </w:pPr>
      <w:r>
        <w:rPr>
          <w:b/>
          <w:bCs/>
        </w:rPr>
        <w:t xml:space="preserve">Non-GAAP GPU – non-GAAP SG&amp;A per retail unit = adjusted EBITDA per retail unit</w:t>
      </w:r>
    </w:p>
    <w:p>
      <w:pPr>
        <w:pStyle w:val="FirstParagraph"/>
      </w:pPr>
      <w:r>
        <w:t xml:space="preserve">That framework makes the balance between GPU pressure and SG&amp;A leverage central to the quarter.</w:t>
      </w:r>
    </w:p>
    <w:p>
      <w:r>
        <w:pict>
          <v:rect style="width:0;height:1.5pt" o:hralign="center" o:hrstd="t" o:hr="t"/>
        </w:pict>
      </w:r>
    </w:p>
    <w:bookmarkEnd w:id="21"/>
    <w:bookmarkStart w:id="22" w:name="Xba4bc52ee52e581b80ee8a9433dd93aed465ff9"/>
    <w:p>
      <w:pPr>
        <w:pStyle w:val="Heading2"/>
      </w:pPr>
      <w:r>
        <w:t xml:space="preserve">5. SG&amp;A leverage must offset some of the GPU pressure</w:t>
      </w:r>
    </w:p>
    <w:p>
      <w:pPr>
        <w:pStyle w:val="FirstParagraph"/>
      </w:pPr>
      <w:r>
        <w:t xml:space="preserve">Q1 non-GAAP SG&amp;A expense was</w:t>
      </w:r>
      <w:r>
        <w:t xml:space="preserve"> </w:t>
      </w:r>
      <w:r>
        <w:rPr>
          <w:b/>
          <w:bCs/>
        </w:rPr>
        <w:t xml:space="preserve">$3,325 per retail unit</w:t>
      </w:r>
      <w:r>
        <w:t xml:space="preserve">, down $170 year over year. The components included approximately:</w:t>
      </w:r>
    </w:p>
    <w:p>
      <w:pPr>
        <w:pStyle w:val="Compact"/>
        <w:numPr>
          <w:ilvl w:val="0"/>
          <w:numId w:val="1009"/>
        </w:numPr>
      </w:pPr>
      <w:r>
        <w:t xml:space="preserve">Carvana operations: $1,622 per unit.</w:t>
      </w:r>
    </w:p>
    <w:p>
      <w:pPr>
        <w:pStyle w:val="Compact"/>
        <w:numPr>
          <w:ilvl w:val="0"/>
          <w:numId w:val="1009"/>
        </w:numPr>
      </w:pPr>
      <w:r>
        <w:t xml:space="preserve">Advertising: $630.</w:t>
      </w:r>
    </w:p>
    <w:p>
      <w:pPr>
        <w:pStyle w:val="Compact"/>
        <w:numPr>
          <w:ilvl w:val="0"/>
          <w:numId w:val="1009"/>
        </w:numPr>
      </w:pPr>
      <w:r>
        <w:t xml:space="preserve">Overhead: $1,073.</w:t>
      </w:r>
    </w:p>
    <w:p>
      <w:pPr>
        <w:pStyle w:val="FirstParagraph"/>
      </w:pPr>
      <w:r>
        <w:t xml:space="preserve">Carvana continues to spend aggressively on advertising while relying on scale to reduce overhead and operational expense per unit. Management indicated that advertising per unit had been relatively stable over the preceding several quarters, while technology, AI and facility investments would keep absolute overhead above 2025 levels.</w:t>
      </w:r>
    </w:p>
    <w:p>
      <w:pPr>
        <w:pStyle w:val="BodyText"/>
      </w:pPr>
      <w:r>
        <w:t xml:space="preserve">The Q2 question is whether unit growth remains sufficiently strong to produce meaningful per-unit leverage. A good result would include:</w:t>
      </w:r>
    </w:p>
    <w:p>
      <w:pPr>
        <w:pStyle w:val="Compact"/>
        <w:numPr>
          <w:ilvl w:val="0"/>
          <w:numId w:val="1010"/>
        </w:numPr>
      </w:pPr>
      <w:r>
        <w:t xml:space="preserve">Lower total SG&amp;A per unit.</w:t>
      </w:r>
    </w:p>
    <w:p>
      <w:pPr>
        <w:pStyle w:val="Compact"/>
        <w:numPr>
          <w:ilvl w:val="0"/>
          <w:numId w:val="1010"/>
        </w:numPr>
      </w:pPr>
      <w:r>
        <w:t xml:space="preserve">Continued overhead leverage.</w:t>
      </w:r>
    </w:p>
    <w:p>
      <w:pPr>
        <w:pStyle w:val="Compact"/>
        <w:numPr>
          <w:ilvl w:val="0"/>
          <w:numId w:val="1010"/>
        </w:numPr>
      </w:pPr>
      <w:r>
        <w:t xml:space="preserve">Stable or improving operating expense per unit.</w:t>
      </w:r>
    </w:p>
    <w:p>
      <w:pPr>
        <w:pStyle w:val="Compact"/>
        <w:numPr>
          <w:ilvl w:val="0"/>
          <w:numId w:val="1010"/>
        </w:numPr>
      </w:pPr>
      <w:r>
        <w:t xml:space="preserve">Advertising growth that remains disciplined relative to unit growth.</w:t>
      </w:r>
    </w:p>
    <w:p>
      <w:pPr>
        <w:pStyle w:val="FirstParagraph"/>
      </w:pPr>
      <w:r>
        <w:t xml:space="preserve">If GPU is weaker than expected and SG&amp;A fails to leverage, EBITDA can miss even with strong unit sales.</w:t>
      </w:r>
    </w:p>
    <w:p>
      <w:r>
        <w:pict>
          <v:rect style="width:0;height:1.5pt" o:hralign="center" o:hrstd="t" o:hr="t"/>
        </w:pict>
      </w:r>
    </w:p>
    <w:bookmarkEnd w:id="22"/>
    <w:bookmarkStart w:id="24" w:name="Xc0cc5435995df3b567074cfbd63b349ae791400"/>
    <w:p>
      <w:pPr>
        <w:pStyle w:val="Heading2"/>
      </w:pPr>
      <w:r>
        <w:t xml:space="preserve">6. Financing economics remain essential</w:t>
      </w:r>
    </w:p>
    <w:p>
      <w:pPr>
        <w:pStyle w:val="FirstParagraph"/>
      </w:pPr>
      <w:r>
        <w:t xml:space="preserve">“Other” GPU—largely finance-receivable gains and complementary products—remains a significant component of Carvana’s profitability.</w:t>
      </w:r>
    </w:p>
    <w:p>
      <w:pPr>
        <w:pStyle w:val="BodyText"/>
      </w:pPr>
      <w:r>
        <w:t xml:space="preserve">In Q1, other GAAP GPU was $2,807. Management said it had passed some value to customers through lower financing rates, partly offset by higher amounts financed and stronger finance and vehicle-service-contract attachment. Consensus expects Q2 other GPU of roughly $2,854, effectively stable year over year. (</w:t>
      </w:r>
      <w:hyperlink r:id="rId11">
        <w:r>
          <w:rPr>
            <w:rStyle w:val="Hyperlink"/>
          </w:rPr>
          <w:t xml:space="preserve">zacks.com</w:t>
        </w:r>
      </w:hyperlink>
      <w:r>
        <w:t xml:space="preserve">)</w:t>
      </w:r>
    </w:p>
    <w:p>
      <w:pPr>
        <w:pStyle w:val="BodyText"/>
      </w:pPr>
      <w:r>
        <w:t xml:space="preserve">Investors should focus on:</w:t>
      </w:r>
    </w:p>
    <w:p>
      <w:pPr>
        <w:pStyle w:val="Compact"/>
        <w:numPr>
          <w:ilvl w:val="0"/>
          <w:numId w:val="1011"/>
        </w:numPr>
      </w:pPr>
      <w:r>
        <w:t xml:space="preserve">Gain-on-loan-sale economics.</w:t>
      </w:r>
    </w:p>
    <w:p>
      <w:pPr>
        <w:pStyle w:val="Compact"/>
        <w:numPr>
          <w:ilvl w:val="0"/>
          <w:numId w:val="1011"/>
        </w:numPr>
      </w:pPr>
      <w:r>
        <w:t xml:space="preserve">Financing attachment rates.</w:t>
      </w:r>
    </w:p>
    <w:p>
      <w:pPr>
        <w:pStyle w:val="Compact"/>
        <w:numPr>
          <w:ilvl w:val="0"/>
          <w:numId w:val="1011"/>
        </w:numPr>
      </w:pPr>
      <w:r>
        <w:t xml:space="preserve">Average amount financed.</w:t>
      </w:r>
    </w:p>
    <w:p>
      <w:pPr>
        <w:pStyle w:val="Compact"/>
        <w:numPr>
          <w:ilvl w:val="0"/>
          <w:numId w:val="1011"/>
        </w:numPr>
      </w:pPr>
      <w:r>
        <w:t xml:space="preserve">Loan buyer and securitization demand.</w:t>
      </w:r>
    </w:p>
    <w:p>
      <w:pPr>
        <w:pStyle w:val="Compact"/>
        <w:numPr>
          <w:ilvl w:val="0"/>
          <w:numId w:val="1011"/>
        </w:numPr>
      </w:pPr>
      <w:r>
        <w:t xml:space="preserve">Credit mix and whether Carvana is using lower rates to stimulate volume.</w:t>
      </w:r>
    </w:p>
    <w:p>
      <w:pPr>
        <w:pStyle w:val="Compact"/>
        <w:numPr>
          <w:ilvl w:val="0"/>
          <w:numId w:val="1011"/>
        </w:numPr>
      </w:pPr>
      <w:r>
        <w:t xml:space="preserve">Any update on the Ally forward-flow agreement.</w:t>
      </w:r>
    </w:p>
    <w:p>
      <w:pPr>
        <w:pStyle w:val="FirstParagraph"/>
      </w:pPr>
      <w:r>
        <w:t xml:space="preserve">The current Ally agreement provides for up to $6 billion of finance-receivable purchases through</w:t>
      </w:r>
      <w:r>
        <w:t xml:space="preserve"> </w:t>
      </w:r>
      <w:r>
        <w:rPr>
          <w:b/>
          <w:bCs/>
        </w:rPr>
        <w:t xml:space="preserve">October 27, 2026</w:t>
      </w:r>
      <w:r>
        <w:t xml:space="preserve">; Carvana also has fixed-pool arrangements with three third-party buyers extending through 2027. That reduces near-term concentration risk, but financing capacity, pricing and renewal terms remain important to the medium-term earnings model. (</w:t>
      </w:r>
      <w:hyperlink r:id="rId23">
        <w:r>
          <w:rPr>
            <w:rStyle w:val="Hyperlink"/>
          </w:rPr>
          <w:t xml:space="preserve">sec.gov</w:t>
        </w:r>
      </w:hyperlink>
      <w:r>
        <w:t xml:space="preserve">)</w:t>
      </w:r>
    </w:p>
    <w:p>
      <w:r>
        <w:pict>
          <v:rect style="width:0;height:1.5pt" o:hralign="center" o:hrstd="t" o:hr="t"/>
        </w:pict>
      </w:r>
    </w:p>
    <w:bookmarkEnd w:id="24"/>
    <w:bookmarkStart w:id="28" w:name="X9426301c563681b0333680a71657c9e0c581c3f"/>
    <w:p>
      <w:pPr>
        <w:pStyle w:val="Heading2"/>
      </w:pPr>
      <w:r>
        <w:t xml:space="preserve">7. Guidance will probably drive the share reaction</w:t>
      </w:r>
    </w:p>
    <w:p>
      <w:pPr>
        <w:pStyle w:val="FirstParagraph"/>
      </w:pPr>
      <w:r>
        <w:t xml:space="preserve">The stock’s response may depend more on Q3 and full-year commentary than on the headline Q2 numbers.</w:t>
      </w:r>
    </w:p>
    <w:p>
      <w:pPr>
        <w:pStyle w:val="BodyText"/>
      </w:pPr>
      <w:r>
        <w:t xml:space="preserve">Management has only committed to “significant growth” in both retail units and adjusted EBITDA for 2026. Investors will be looking for either quantitative guidance or language that implies whether the roughly 40% unit-growth streak can continue.</w:t>
      </w:r>
    </w:p>
    <w:bookmarkStart w:id="25" w:name="positive-guidance-would-include"/>
    <w:p>
      <w:pPr>
        <w:pStyle w:val="Heading3"/>
      </w:pPr>
      <w:r>
        <w:t xml:space="preserve">Positive guidance would include</w:t>
      </w:r>
    </w:p>
    <w:p>
      <w:pPr>
        <w:pStyle w:val="Compact"/>
        <w:numPr>
          <w:ilvl w:val="0"/>
          <w:numId w:val="1012"/>
        </w:numPr>
      </w:pPr>
      <w:r>
        <w:t xml:space="preserve">Another sequential increase in Q3 retail units.</w:t>
      </w:r>
    </w:p>
    <w:p>
      <w:pPr>
        <w:pStyle w:val="Compact"/>
        <w:numPr>
          <w:ilvl w:val="0"/>
          <w:numId w:val="1012"/>
        </w:numPr>
      </w:pPr>
      <w:r>
        <w:t xml:space="preserve">Confidence that reconditioning costs continue to improve.</w:t>
      </w:r>
    </w:p>
    <w:p>
      <w:pPr>
        <w:pStyle w:val="Compact"/>
        <w:numPr>
          <w:ilvl w:val="0"/>
          <w:numId w:val="1012"/>
        </w:numPr>
      </w:pPr>
      <w:r>
        <w:t xml:space="preserve">Normalization of wholesale-to-retail spreads.</w:t>
      </w:r>
    </w:p>
    <w:p>
      <w:pPr>
        <w:pStyle w:val="Compact"/>
        <w:numPr>
          <w:ilvl w:val="0"/>
          <w:numId w:val="1012"/>
        </w:numPr>
      </w:pPr>
      <w:r>
        <w:t xml:space="preserve">Continued EBITDA growth despite investment spending.</w:t>
      </w:r>
    </w:p>
    <w:p>
      <w:pPr>
        <w:pStyle w:val="Compact"/>
        <w:numPr>
          <w:ilvl w:val="0"/>
          <w:numId w:val="1012"/>
        </w:numPr>
      </w:pPr>
      <w:r>
        <w:t xml:space="preserve">No material demand deterioration.</w:t>
      </w:r>
    </w:p>
    <w:p>
      <w:pPr>
        <w:pStyle w:val="Compact"/>
        <w:numPr>
          <w:ilvl w:val="0"/>
          <w:numId w:val="1012"/>
        </w:numPr>
      </w:pPr>
      <w:r>
        <w:t xml:space="preserve">Progress on six to eight planned ADESA integrations during 2026.</w:t>
      </w:r>
    </w:p>
    <w:bookmarkEnd w:id="25"/>
    <w:bookmarkStart w:id="27" w:name="potentially-disappointing-guidance"/>
    <w:p>
      <w:pPr>
        <w:pStyle w:val="Heading3"/>
      </w:pPr>
      <w:r>
        <w:t xml:space="preserve">Potentially disappointing guidance</w:t>
      </w:r>
    </w:p>
    <w:p>
      <w:pPr>
        <w:pStyle w:val="Compact"/>
        <w:numPr>
          <w:ilvl w:val="0"/>
          <w:numId w:val="1013"/>
        </w:numPr>
      </w:pPr>
      <w:r>
        <w:t xml:space="preserve">A sequential unit decline not clearly attributable to normal seasonality.</w:t>
      </w:r>
    </w:p>
    <w:p>
      <w:pPr>
        <w:pStyle w:val="Compact"/>
        <w:numPr>
          <w:ilvl w:val="0"/>
          <w:numId w:val="1013"/>
        </w:numPr>
      </w:pPr>
      <w:r>
        <w:t xml:space="preserve">Caution around affordability or consumer credit.</w:t>
      </w:r>
    </w:p>
    <w:p>
      <w:pPr>
        <w:pStyle w:val="Compact"/>
        <w:numPr>
          <w:ilvl w:val="0"/>
          <w:numId w:val="1013"/>
        </w:numPr>
      </w:pPr>
      <w:r>
        <w:t xml:space="preserve">Persistent wholesale/retail spread compression.</w:t>
      </w:r>
    </w:p>
    <w:p>
      <w:pPr>
        <w:pStyle w:val="Compact"/>
        <w:numPr>
          <w:ilvl w:val="0"/>
          <w:numId w:val="1013"/>
        </w:numPr>
      </w:pPr>
      <w:r>
        <w:t xml:space="preserve">Additional reconditioning or logistics bottlenecks.</w:t>
      </w:r>
    </w:p>
    <w:p>
      <w:pPr>
        <w:pStyle w:val="Compact"/>
        <w:numPr>
          <w:ilvl w:val="0"/>
          <w:numId w:val="1013"/>
        </w:numPr>
      </w:pPr>
      <w:r>
        <w:t xml:space="preserve">Higher advertising and overhead without corresponding unit acceleration.</w:t>
      </w:r>
    </w:p>
    <w:p>
      <w:pPr>
        <w:pStyle w:val="Compact"/>
        <w:numPr>
          <w:ilvl w:val="0"/>
          <w:numId w:val="1013"/>
        </w:numPr>
      </w:pPr>
      <w:r>
        <w:t xml:space="preserve">A vague full-year outlook after a strong first half.</w:t>
      </w:r>
    </w:p>
    <w:p>
      <w:pPr>
        <w:pStyle w:val="FirstParagraph"/>
      </w:pPr>
      <w:r>
        <w:t xml:space="preserve">Carvana’s long-term objective remains</w:t>
      </w:r>
      <w:r>
        <w:t xml:space="preserve"> </w:t>
      </w:r>
      <w:r>
        <w:rPr>
          <w:b/>
          <w:bCs/>
        </w:rPr>
        <w:t xml:space="preserve">3 million annual retail units at a 13.5% adjusted EBITDA margin by 2030–2035</w:t>
      </w:r>
      <w:r>
        <w:t xml:space="preserve">. Q2 will not prove that target, but it should indicate whether the company can scale toward it without sacrificing its current margin advantage. (</w:t>
      </w:r>
      <w:hyperlink r:id="rId26">
        <w:r>
          <w:rPr>
            <w:rStyle w:val="Hyperlink"/>
          </w:rPr>
          <w:t xml:space="preserve">investors.carvana.com</w:t>
        </w:r>
      </w:hyperlink>
      <w:r>
        <w:t xml:space="preserve">)</w:t>
      </w:r>
    </w:p>
    <w:p>
      <w:r>
        <w:pict>
          <v:rect style="width:0;height:1.5pt" o:hralign="center" o:hrstd="t" o:hr="t"/>
        </w:pict>
      </w:r>
    </w:p>
    <w:bookmarkEnd w:id="27"/>
    <w:bookmarkEnd w:id="28"/>
    <w:bookmarkStart w:id="29" w:name="balance-sheet-and-cash-flow-watch"/>
    <w:p>
      <w:pPr>
        <w:pStyle w:val="Heading2"/>
      </w:pPr>
      <w:r>
        <w:t xml:space="preserve">Balance sheet and cash-flow watch</w:t>
      </w:r>
    </w:p>
    <w:p>
      <w:pPr>
        <w:pStyle w:val="FirstParagraph"/>
      </w:pPr>
      <w:r>
        <w:t xml:space="preserve">Carvana entered Q2 with:</w:t>
      </w:r>
    </w:p>
    <w:p>
      <w:pPr>
        <w:pStyle w:val="Compact"/>
        <w:numPr>
          <w:ilvl w:val="0"/>
          <w:numId w:val="1014"/>
        </w:numPr>
      </w:pPr>
      <w:r>
        <w:t xml:space="preserve">$2.41 billion of cash.</w:t>
      </w:r>
    </w:p>
    <w:p>
      <w:pPr>
        <w:pStyle w:val="Compact"/>
        <w:numPr>
          <w:ilvl w:val="0"/>
          <w:numId w:val="1014"/>
        </w:numPr>
      </w:pPr>
      <w:r>
        <w:t xml:space="preserve">$4.55 billion of committed liquidity resources.</w:t>
      </w:r>
    </w:p>
    <w:p>
      <w:pPr>
        <w:pStyle w:val="Compact"/>
        <w:numPr>
          <w:ilvl w:val="0"/>
          <w:numId w:val="1014"/>
        </w:numPr>
      </w:pPr>
      <w:r>
        <w:t xml:space="preserve">$6.91 billion of total stated liquidity resources.</w:t>
      </w:r>
    </w:p>
    <w:p>
      <w:pPr>
        <w:pStyle w:val="Compact"/>
        <w:numPr>
          <w:ilvl w:val="0"/>
          <w:numId w:val="1014"/>
        </w:numPr>
      </w:pPr>
      <w:r>
        <w:t xml:space="preserve">Approximately $5.08 billion of short- and long-term debt.</w:t>
      </w:r>
    </w:p>
    <w:p>
      <w:pPr>
        <w:pStyle w:val="Compact"/>
        <w:numPr>
          <w:ilvl w:val="0"/>
          <w:numId w:val="1014"/>
        </w:numPr>
      </w:pPr>
      <w:r>
        <w:t xml:space="preserve">Net debt to trailing adjusted EBITDA of 1.1 times, according to management.</w:t>
      </w:r>
    </w:p>
    <w:p>
      <w:pPr>
        <w:pStyle w:val="FirstParagraph"/>
      </w:pPr>
      <w:r>
        <w:t xml:space="preserve">The balance sheet is far stronger than during Carvana’s 2022–2023 stress period. However, Q1 operating cash flow was only $107 million despite $672 million of adjusted EBITDA, partly because rapid growth required investment in inventory and receivables. Investors should therefore monitor inventory, working capital and capital expenditures rather than treating EBITDA as equivalent to free cash flow. (</w:t>
      </w:r>
      <w:hyperlink r:id="rId13">
        <w:r>
          <w:rPr>
            <w:rStyle w:val="Hyperlink"/>
          </w:rPr>
          <w:t xml:space="preserve">sec.gov</w:t>
        </w:r>
      </w:hyperlink>
      <w:r>
        <w:t xml:space="preserve">)</w:t>
      </w:r>
    </w:p>
    <w:p>
      <w:r>
        <w:pict>
          <v:rect style="width:0;height:1.5pt" o:hralign="center" o:hrstd="t" o:hr="t"/>
        </w:pict>
      </w:r>
    </w:p>
    <w:bookmarkEnd w:id="29"/>
    <w:bookmarkStart w:id="30" w:name="other-risks-worth-remembering"/>
    <w:p>
      <w:pPr>
        <w:pStyle w:val="Heading2"/>
      </w:pPr>
      <w:r>
        <w:t xml:space="preserve">Other risks worth remembering</w:t>
      </w:r>
    </w:p>
    <w:p>
      <w:pPr>
        <w:pStyle w:val="Compact"/>
        <w:numPr>
          <w:ilvl w:val="0"/>
          <w:numId w:val="1015"/>
        </w:numPr>
      </w:pPr>
      <w:r>
        <w:rPr>
          <w:b/>
          <w:bCs/>
        </w:rPr>
        <w:t xml:space="preserve">Execution risk:</w:t>
      </w:r>
      <w:r>
        <w:t xml:space="preserve"> </w:t>
      </w:r>
      <w:r>
        <w:t xml:space="preserve">Sustaining roughly 40% growth while hiring, training and expanding production capacity is operationally difficult.</w:t>
      </w:r>
    </w:p>
    <w:p>
      <w:pPr>
        <w:pStyle w:val="Compact"/>
        <w:numPr>
          <w:ilvl w:val="0"/>
          <w:numId w:val="1015"/>
        </w:numPr>
      </w:pPr>
      <w:r>
        <w:rPr>
          <w:b/>
          <w:bCs/>
        </w:rPr>
        <w:t xml:space="preserve">Used-car pricing:</w:t>
      </w:r>
      <w:r>
        <w:t xml:space="preserve"> </w:t>
      </w:r>
      <w:r>
        <w:t xml:space="preserve">Rapid wholesale appreciation can compress retail spreads before retail prices catch up.</w:t>
      </w:r>
    </w:p>
    <w:p>
      <w:pPr>
        <w:pStyle w:val="Compact"/>
        <w:numPr>
          <w:ilvl w:val="0"/>
          <w:numId w:val="1015"/>
        </w:numPr>
      </w:pPr>
      <w:r>
        <w:rPr>
          <w:b/>
          <w:bCs/>
        </w:rPr>
        <w:t xml:space="preserve">Consumer affordability:</w:t>
      </w:r>
      <w:r>
        <w:t xml:space="preserve"> </w:t>
      </w:r>
      <w:r>
        <w:t xml:space="preserve">High vehicle prices and financing costs may pressure conversion or require Carvana to subsidize customer rates.</w:t>
      </w:r>
    </w:p>
    <w:p>
      <w:pPr>
        <w:pStyle w:val="Compact"/>
        <w:numPr>
          <w:ilvl w:val="0"/>
          <w:numId w:val="1015"/>
        </w:numPr>
      </w:pPr>
      <w:r>
        <w:rPr>
          <w:b/>
          <w:bCs/>
        </w:rPr>
        <w:t xml:space="preserve">Financing-market exposure:</w:t>
      </w:r>
      <w:r>
        <w:t xml:space="preserve"> </w:t>
      </w:r>
      <w:r>
        <w:t xml:space="preserve">Other GPU depends partly on loan-sale and securitization economics.</w:t>
      </w:r>
    </w:p>
    <w:p>
      <w:pPr>
        <w:pStyle w:val="Compact"/>
        <w:numPr>
          <w:ilvl w:val="0"/>
          <w:numId w:val="1015"/>
        </w:numPr>
      </w:pPr>
      <w:r>
        <w:rPr>
          <w:b/>
          <w:bCs/>
        </w:rPr>
        <w:t xml:space="preserve">Related-party complexity:</w:t>
      </w:r>
      <w:r>
        <w:t xml:space="preserve"> </w:t>
      </w:r>
      <w:r>
        <w:t xml:space="preserve">Carvana continues to have service, warranty and other arrangements with DriveTime; the tax-receivable-agreement liability was approximately $2.2 billion at March 31, including about $1.7 billion due to related parties. (</w:t>
      </w:r>
      <w:hyperlink r:id="rId23">
        <w:r>
          <w:rPr>
            <w:rStyle w:val="Hyperlink"/>
          </w:rPr>
          <w:t xml:space="preserve">sec.gov</w:t>
        </w:r>
      </w:hyperlink>
      <w:r>
        <w:t xml:space="preserve">)</w:t>
      </w:r>
    </w:p>
    <w:p>
      <w:pPr>
        <w:pStyle w:val="Compact"/>
        <w:numPr>
          <w:ilvl w:val="0"/>
          <w:numId w:val="1015"/>
        </w:numPr>
      </w:pPr>
      <w:r>
        <w:rPr>
          <w:b/>
          <w:bCs/>
        </w:rPr>
        <w:t xml:space="preserve">Regulatory overhang:</w:t>
      </w:r>
      <w:r>
        <w:t xml:space="preserve"> </w:t>
      </w:r>
      <w:r>
        <w:t xml:space="preserve">Carvana disclosed that it received an SEC subpoena in June 2025 relating primarily to allegations in a short-seller report. The company disputes those allegations and says it is cooperating with the SEC. (</w:t>
      </w:r>
      <w:hyperlink r:id="rId23">
        <w:r>
          <w:rPr>
            <w:rStyle w:val="Hyperlink"/>
          </w:rPr>
          <w:t xml:space="preserve">sec.gov</w:t>
        </w:r>
      </w:hyperlink>
      <w:r>
        <w:t xml:space="preserve">)</w:t>
      </w:r>
    </w:p>
    <w:p>
      <w:pPr>
        <w:pStyle w:val="Compact"/>
        <w:numPr>
          <w:ilvl w:val="0"/>
          <w:numId w:val="1015"/>
        </w:numPr>
      </w:pPr>
      <w:r>
        <w:rPr>
          <w:b/>
          <w:bCs/>
        </w:rPr>
        <w:t xml:space="preserve">GAAP earnings volatility:</w:t>
      </w:r>
      <w:r>
        <w:t xml:space="preserve"> </w:t>
      </w:r>
      <w:r>
        <w:t xml:space="preserve">Changes in warrant fair value can create material non-operating gains or losses; Q1 net income included a $42 million negative fair-value impact.</w:t>
      </w:r>
    </w:p>
    <w:p>
      <w:r>
        <w:pict>
          <v:rect style="width:0;height:1.5pt" o:hralign="center" o:hrstd="t" o:hr="t"/>
        </w:pict>
      </w:r>
    </w:p>
    <w:bookmarkEnd w:id="30"/>
    <w:bookmarkStart w:id="34" w:name="scenario-framework"/>
    <w:p>
      <w:pPr>
        <w:pStyle w:val="Heading2"/>
      </w:pPr>
      <w:r>
        <w:t xml:space="preserve">Scenario framework</w:t>
      </w:r>
    </w:p>
    <w:bookmarkStart w:id="31" w:name="bull-case"/>
    <w:p>
      <w:pPr>
        <w:pStyle w:val="Heading3"/>
      </w:pPr>
      <w:r>
        <w:t xml:space="preserve">Bull case</w:t>
      </w:r>
    </w:p>
    <w:p>
      <w:pPr>
        <w:pStyle w:val="Compact"/>
        <w:numPr>
          <w:ilvl w:val="0"/>
          <w:numId w:val="1016"/>
        </w:numPr>
      </w:pPr>
      <w:r>
        <w:t xml:space="preserve">More than 200,000 retail units.</w:t>
      </w:r>
    </w:p>
    <w:p>
      <w:pPr>
        <w:pStyle w:val="Compact"/>
        <w:numPr>
          <w:ilvl w:val="0"/>
          <w:numId w:val="1016"/>
        </w:numPr>
      </w:pPr>
      <w:r>
        <w:t xml:space="preserve">Total GPU at or above approximately $6,800.</w:t>
      </w:r>
    </w:p>
    <w:p>
      <w:pPr>
        <w:pStyle w:val="Compact"/>
        <w:numPr>
          <w:ilvl w:val="0"/>
          <w:numId w:val="1016"/>
        </w:numPr>
      </w:pPr>
      <w:r>
        <w:t xml:space="preserve">Clear sequential retail-GPU improvement.</w:t>
      </w:r>
    </w:p>
    <w:p>
      <w:pPr>
        <w:pStyle w:val="Compact"/>
        <w:numPr>
          <w:ilvl w:val="0"/>
          <w:numId w:val="1016"/>
        </w:numPr>
      </w:pPr>
      <w:r>
        <w:t xml:space="preserve">Adjusted EBITDA above roughly $750 million.</w:t>
      </w:r>
    </w:p>
    <w:p>
      <w:pPr>
        <w:pStyle w:val="Compact"/>
        <w:numPr>
          <w:ilvl w:val="0"/>
          <w:numId w:val="1016"/>
        </w:numPr>
      </w:pPr>
      <w:r>
        <w:t xml:space="preserve">Continued SG&amp;A leverage.</w:t>
      </w:r>
    </w:p>
    <w:p>
      <w:pPr>
        <w:pStyle w:val="Compact"/>
        <w:numPr>
          <w:ilvl w:val="0"/>
          <w:numId w:val="1016"/>
        </w:numPr>
      </w:pPr>
      <w:r>
        <w:t xml:space="preserve">Q3 unit and EBITDA outlook above existing expectations.</w:t>
      </w:r>
    </w:p>
    <w:p>
      <w:pPr>
        <w:pStyle w:val="FirstParagraph"/>
      </w:pPr>
      <w:r>
        <w:t xml:space="preserve">This would reinforce the view that Carvana can compound market-share gains while maintaining structurally superior margins.</w:t>
      </w:r>
    </w:p>
    <w:bookmarkEnd w:id="31"/>
    <w:bookmarkStart w:id="32" w:name="base-case"/>
    <w:p>
      <w:pPr>
        <w:pStyle w:val="Heading3"/>
      </w:pPr>
      <w:r>
        <w:t xml:space="preserve">Base case</w:t>
      </w:r>
    </w:p>
    <w:p>
      <w:pPr>
        <w:pStyle w:val="Compact"/>
        <w:numPr>
          <w:ilvl w:val="0"/>
          <w:numId w:val="1017"/>
        </w:numPr>
      </w:pPr>
      <w:r>
        <w:t xml:space="preserve">195,000–200,000 units.</w:t>
      </w:r>
    </w:p>
    <w:p>
      <w:pPr>
        <w:pStyle w:val="Compact"/>
        <w:numPr>
          <w:ilvl w:val="0"/>
          <w:numId w:val="1017"/>
        </w:numPr>
      </w:pPr>
      <w:r>
        <w:t xml:space="preserve">Total GPU of roughly</w:t>
      </w:r>
      <w:r>
        <w:t xml:space="preserve"> </w:t>
      </w:r>
      <m:oMath>
        <m:r>
          <m:t>6</m:t>
        </m:r>
        <m:r>
          <m:rPr>
            <m:sty m:val="p"/>
          </m:rPr>
          <m:t>,</m:t>
        </m:r>
        <m:r>
          <m:t>600</m:t>
        </m:r>
        <m:r>
          <m:rPr>
            <m:sty m:val="p"/>
          </m:rPr>
          <m:t>–</m:t>
        </m:r>
      </m:oMath>
      <w:r>
        <w:t xml:space="preserve">6,900.</w:t>
      </w:r>
    </w:p>
    <w:p>
      <w:pPr>
        <w:pStyle w:val="Compact"/>
        <w:numPr>
          <w:ilvl w:val="0"/>
          <w:numId w:val="1017"/>
        </w:numPr>
      </w:pPr>
      <w:r>
        <w:t xml:space="preserve">Adjusted EBITDA around</w:t>
      </w:r>
      <w:r>
        <w:t xml:space="preserve"> </w:t>
      </w:r>
      <m:oMath>
        <m:r>
          <m:t>690</m:t>
        </m:r>
        <m:r>
          <m:rPr>
            <m:sty m:val="p"/>
          </m:rPr>
          <m:t>–</m:t>
        </m:r>
      </m:oMath>
      <w:r>
        <w:t xml:space="preserve">740 million.</w:t>
      </w:r>
    </w:p>
    <w:p>
      <w:pPr>
        <w:pStyle w:val="Compact"/>
        <w:numPr>
          <w:ilvl w:val="0"/>
          <w:numId w:val="1017"/>
        </w:numPr>
      </w:pPr>
      <w:r>
        <w:t xml:space="preserve">Reconditioning improvements beginning to flow through.</w:t>
      </w:r>
    </w:p>
    <w:p>
      <w:pPr>
        <w:pStyle w:val="Compact"/>
        <w:numPr>
          <w:ilvl w:val="0"/>
          <w:numId w:val="1017"/>
        </w:numPr>
      </w:pPr>
      <w:r>
        <w:t xml:space="preserve">Management reiterates significant full-year growth but provides limited quantitative guidance.</w:t>
      </w:r>
    </w:p>
    <w:p>
      <w:pPr>
        <w:pStyle w:val="FirstParagraph"/>
      </w:pPr>
      <w:r>
        <w:t xml:space="preserve">The reaction would likely depend on whether results land above or below the high end of those ranges.</w:t>
      </w:r>
    </w:p>
    <w:bookmarkEnd w:id="32"/>
    <w:bookmarkStart w:id="33" w:name="bear-case"/>
    <w:p>
      <w:pPr>
        <w:pStyle w:val="Heading3"/>
      </w:pPr>
      <w:r>
        <w:t xml:space="preserve">Bear case</w:t>
      </w:r>
    </w:p>
    <w:p>
      <w:pPr>
        <w:pStyle w:val="Compact"/>
        <w:numPr>
          <w:ilvl w:val="0"/>
          <w:numId w:val="1018"/>
        </w:numPr>
      </w:pPr>
      <w:r>
        <w:t xml:space="preserve">Fewer than 195,000 units.</w:t>
      </w:r>
    </w:p>
    <w:p>
      <w:pPr>
        <w:pStyle w:val="Compact"/>
        <w:numPr>
          <w:ilvl w:val="0"/>
          <w:numId w:val="1018"/>
        </w:numPr>
      </w:pPr>
      <w:r>
        <w:t xml:space="preserve">Retail GPU fails to improve sequentially.</w:t>
      </w:r>
    </w:p>
    <w:p>
      <w:pPr>
        <w:pStyle w:val="Compact"/>
        <w:numPr>
          <w:ilvl w:val="0"/>
          <w:numId w:val="1018"/>
        </w:numPr>
      </w:pPr>
      <w:r>
        <w:t xml:space="preserve">Adjusted EBITDA only marginally exceeds—or falls below—$672 million.</w:t>
      </w:r>
    </w:p>
    <w:p>
      <w:pPr>
        <w:pStyle w:val="Compact"/>
        <w:numPr>
          <w:ilvl w:val="0"/>
          <w:numId w:val="1018"/>
        </w:numPr>
      </w:pPr>
      <w:r>
        <w:t xml:space="preserve">Higher advertising and overhead offset scale benefits.</w:t>
      </w:r>
    </w:p>
    <w:p>
      <w:pPr>
        <w:pStyle w:val="Compact"/>
        <w:numPr>
          <w:ilvl w:val="0"/>
          <w:numId w:val="1018"/>
        </w:numPr>
      </w:pPr>
      <w:r>
        <w:t xml:space="preserve">Cautious Q3 commentary or signs of another production bottleneck.</w:t>
      </w:r>
    </w:p>
    <w:p>
      <w:pPr>
        <w:pStyle w:val="FirstParagraph"/>
      </w:pPr>
      <w:r>
        <w:t xml:space="preserve">That outcome would challenge the idea that Carvana can maintain both rapid growth and double-digit EBITDA margins.</w:t>
      </w:r>
    </w:p>
    <w:p>
      <w:r>
        <w:pict>
          <v:rect style="width:0;height:1.5pt" o:hralign="center" o:hrstd="t" o:hr="t"/>
        </w:pict>
      </w:r>
    </w:p>
    <w:bookmarkEnd w:id="33"/>
    <w:bookmarkEnd w:id="34"/>
    <w:bookmarkStart w:id="35" w:name="bottom-line"/>
    <w:p>
      <w:pPr>
        <w:pStyle w:val="Heading2"/>
      </w:pPr>
      <w:r>
        <w:t xml:space="preserve">Bottom line</w:t>
      </w:r>
    </w:p>
    <w:p>
      <w:pPr>
        <w:pStyle w:val="FirstParagraph"/>
      </w:pPr>
      <w:r>
        <w:t xml:space="preserve">The hurdle is not simply “another record quarter.” Carvana already told investors to expect record retail units and adjusted EBITDA.</w:t>
      </w:r>
    </w:p>
    <w:p>
      <w:pPr>
        <w:pStyle w:val="BodyText"/>
      </w:pPr>
      <w:r>
        <w:t xml:space="preserve">A genuinely strong report likely requires</w:t>
      </w:r>
      <w:r>
        <w:t xml:space="preserve"> </w:t>
      </w:r>
      <w:r>
        <w:rPr>
          <w:b/>
          <w:bCs/>
        </w:rPr>
        <w:t xml:space="preserve">approximately 200,000 or more retail units, sequential retail-GPU improvement, adjusted EBITDA comfortably above $672 million and a constructive Q3 outlook</w:t>
      </w:r>
      <w:r>
        <w:t xml:space="preserve">. The most important proof point will be whether Carvana’s reconditioning and SG&amp;A efficiencies can offset known GPU pressure while growth remains near 40%.</w:t>
      </w:r>
    </w:p>
    <w:p>
      <w:pPr>
        <w:pStyle w:val="BodyText"/>
      </w:pPr>
      <w:r>
        <w:t xml:space="preserve">If all three legs—</w:t>
      </w:r>
      <w:r>
        <w:rPr>
          <w:b/>
          <w:bCs/>
        </w:rPr>
        <w:t xml:space="preserve">volume, unit economics and guidance</w:t>
      </w:r>
      <w:r>
        <w:t xml:space="preserve">—hold, the long-term share-gain thesis remains intact. If volume is strong but GPU and cash conversion weaken, investors may conclude that Carvana is buying growth. If margins are healthy but units slow materially, attention will shift from execution capacity to demand.</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6" Target="https://investors.carvana.com/~/media/Files/C/Carvana-IR/documents/june-2026-ir-intro-to-carvana-q1-2026.pdf" TargetMode="External" /><Relationship Type="http://schemas.openxmlformats.org/officeDocument/2006/relationships/hyperlink" Id="rId9" Target="https://www.morningstar.com/news/business-wire/20260701753412/carvana-to-report-second-quarter-2026-results-and-host-quarterly-conference-call-on-july-29?utm_source=openai" TargetMode="External" /><Relationship Type="http://schemas.openxmlformats.org/officeDocument/2006/relationships/hyperlink" Id="rId13" Target="https://www.sec.gov/Archives/edgar/data/1690820/000169082026000034/ex99_1q12026.htm?utm_source=openai" TargetMode="External" /><Relationship Type="http://schemas.openxmlformats.org/officeDocument/2006/relationships/hyperlink" Id="rId23" Target="https://www.sec.gov/Archives/edgar/data/1690820/000169082026000035/cvna-20260331.htm" TargetMode="External" /><Relationship Type="http://schemas.openxmlformats.org/officeDocument/2006/relationships/hyperlink" Id="rId14" Target="https://www.sec.gov/Archives/edgar/data/1690820/000169082026000035/cvna-20260331.htm?utm_source=openai" TargetMode="External" /><Relationship Type="http://schemas.openxmlformats.org/officeDocument/2006/relationships/hyperlink" Id="rId17" Target="https://www.zacks.com/stock/news/2951029/why-is-carvana-expecting-yy-decline-in-retail-gpu-in-q2?utm_source=openai" TargetMode="External" /><Relationship Type="http://schemas.openxmlformats.org/officeDocument/2006/relationships/hyperlink" Id="rId11" Target="https://www.zacks.com/stock/news/2960054/stay-ahead-of-the-game-with-carvana-cvna-q2-earnings-wall-streets-insights-on-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26" Target="https://investors.carvana.com/~/media/Files/C/Carvana-IR/documents/june-2026-ir-intro-to-carvana-q1-2026.pdf" TargetMode="External" /><Relationship Type="http://schemas.openxmlformats.org/officeDocument/2006/relationships/hyperlink" Id="rId9" Target="https://www.morningstar.com/news/business-wire/20260701753412/carvana-to-report-second-quarter-2026-results-and-host-quarterly-conference-call-on-july-29?utm_source=openai" TargetMode="External" /><Relationship Type="http://schemas.openxmlformats.org/officeDocument/2006/relationships/hyperlink" Id="rId13" Target="https://www.sec.gov/Archives/edgar/data/1690820/000169082026000034/ex99_1q12026.htm?utm_source=openai" TargetMode="External" /><Relationship Type="http://schemas.openxmlformats.org/officeDocument/2006/relationships/hyperlink" Id="rId23" Target="https://www.sec.gov/Archives/edgar/data/1690820/000169082026000035/cvna-20260331.htm" TargetMode="External" /><Relationship Type="http://schemas.openxmlformats.org/officeDocument/2006/relationships/hyperlink" Id="rId14" Target="https://www.sec.gov/Archives/edgar/data/1690820/000169082026000035/cvna-20260331.htm?utm_source=openai" TargetMode="External" /><Relationship Type="http://schemas.openxmlformats.org/officeDocument/2006/relationships/hyperlink" Id="rId17" Target="https://www.zacks.com/stock/news/2951029/why-is-carvana-expecting-yy-decline-in-retail-gpu-in-q2?utm_source=openai" TargetMode="External" /><Relationship Type="http://schemas.openxmlformats.org/officeDocument/2006/relationships/hyperlink" Id="rId11" Target="https://www.zacks.com/stock/news/2960054/stay-ahead-of-the-game-with-carvana-cvna-q2-earnings-wall-streets-insights-on-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2026-07-29T01:46:03Z</dcterms:created>
  <dcterms:modified xsi:type="dcterms:W3CDTF">2026-07-29T01:46:03Z</dcterms:modified>
</cp:coreProperties>
</file>

<file path=docProps/custom.xml><?xml version="1.0" encoding="utf-8"?>
<Properties xmlns="http://schemas.openxmlformats.org/officeDocument/2006/custom-properties" xmlns:vt="http://schemas.openxmlformats.org/officeDocument/2006/docPropsVTypes"/>
</file>