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na-earnings-predictions--2026-07-29"/>
    <w:p>
      <w:pPr>
        <w:pStyle w:val="Heading1"/>
      </w:pPr>
      <w:r>
        <w:t xml:space="preserve">CVNA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units sold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~205,000 vs. cons 203,500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~$735 million vs. cons $713 million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retail GPU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~$3,235 vs. cons $3,180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retail-unit-growth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~825,000 retail units vs. cons 808,000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~$3.00 billion vs. cons $2.84 billion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retail units / Adjusted EBITDA record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~215,000 retail units and ~$775 million Adjusted EBITDA vs. cons 211,000 and $748 million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+10.0% (FOLLOW-THROUGH)</w:t>
            </w:r>
          </w:p>
        </w:tc>
        <w:tc>
          <w:tcPr/>
          <w:p>
            <w:pPr>
              <w:pStyle w:val="Compact"/>
            </w:pPr>
            <w:r>
              <w:t xml:space="preserve">~3% FY2026 EBITDA upside versus consensus and ~2% FY2026 retail-unit upside should drive positive out-period revisions; a ~$22 million Q2 EBITDA beat is supported by sequential retail-GPU recovery rather than only volume.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2026-07-29T01:43:54Z</dcterms:created>
  <dcterms:modified xsi:type="dcterms:W3CDTF">2026-07-29T01:43:54Z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