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a2a70b4b63ce06305dadba349df3bc319c9f86a"/>
    <w:p>
      <w:pPr>
        <w:pStyle w:val="Heading1"/>
      </w:pPr>
      <w:r>
        <w:t xml:space="preserve">Carvana (NYSE: CVNA) — Q2 2026 Earnings Preview</w:t>
      </w:r>
    </w:p>
    <w:p>
      <w:pPr>
        <w:pStyle w:val="BlockText"/>
      </w:pPr>
      <w:r>
        <w:rPr>
          <w:b/>
          <w:bCs/>
        </w:rPr>
        <w:t xml:space="preserve">Timing correction:</w:t>
      </w:r>
      <w:r>
        <w:t xml:space="preserve"> </w:t>
      </w:r>
      <w:r>
        <w:t xml:space="preserve">As of</w:t>
      </w:r>
      <w:r>
        <w:t xml:space="preserve"> </w:t>
      </w:r>
      <w:r>
        <w:rPr>
          <w:b/>
          <w:bCs/>
        </w:rPr>
        <w:t xml:space="preserve">Wednesday, July 29, 2026</w:t>
      </w:r>
      <w:r>
        <w:t xml:space="preserve">, Carvana reports</w:t>
      </w:r>
      <w:r>
        <w:t xml:space="preserve"> </w:t>
      </w:r>
      <w:r>
        <w:rPr>
          <w:b/>
          <w:bCs/>
        </w:rPr>
        <w:t xml:space="preserve">today after the market closes</w:t>
      </w:r>
      <w:r>
        <w:t xml:space="preserve">, not tomorrow. The earnings call is scheduled for</w:t>
      </w:r>
      <w:r>
        <w:t xml:space="preserve"> </w:t>
      </w:r>
      <w:r>
        <w:rPr>
          <w:b/>
          <w:bCs/>
        </w:rPr>
        <w:t xml:space="preserve">5:30 p.m. ET</w:t>
      </w:r>
      <w:r>
        <w:t xml:space="preserve">. (</w:t>
      </w:r>
      <w:hyperlink r:id="rId9">
        <w:r>
          <w:rPr>
            <w:rStyle w:val="Hyperlink"/>
          </w:rPr>
          <w:t xml:space="preserve">investors.carvana.com</w:t>
        </w:r>
      </w:hyperlink>
      <w:r>
        <w:t xml:space="preserve">)</w:t>
      </w:r>
    </w:p>
    <w:bookmarkStart w:id="11" w:name="X3fd849ad7bbb45db196d53fce3106814f993358"/>
    <w:p>
      <w:pPr>
        <w:pStyle w:val="Heading2"/>
      </w:pPr>
      <w:r>
        <w:t xml:space="preserve">The setup: another record is already the stated bar</w:t>
      </w:r>
    </w:p>
    <w:p>
      <w:pPr>
        <w:pStyle w:val="FirstParagraph"/>
      </w:pPr>
      <w:r>
        <w:t xml:space="preserve">The key point going into Q2 is unusually clear: management explicitly guided to</w:t>
      </w:r>
      <w:r>
        <w:t xml:space="preserve"> </w:t>
      </w:r>
      <w:r>
        <w:rPr>
          <w:b/>
          <w:bCs/>
        </w:rPr>
        <w:t xml:space="preserve">sequential records in both retail units sold and Adjusted EBITDA</w:t>
      </w:r>
      <w:r>
        <w:t xml:space="preserve">. That sets hard minimum hurdles versus Q1:</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Implied Q2 2026 hurdle</w:t>
            </w:r>
          </w:p>
        </w:tc>
      </w:tr>
      <w:tr>
        <w:tc>
          <w:tcPr/>
          <w:p>
            <w:pPr>
              <w:pStyle w:val="Compact"/>
            </w:pPr>
            <w:r>
              <w:t xml:space="preserve">Retail units sold</w:t>
            </w:r>
          </w:p>
        </w:tc>
        <w:tc>
          <w:tcPr/>
          <w:p>
            <w:pPr>
              <w:pStyle w:val="Compact"/>
              <w:jc w:val="right"/>
            </w:pPr>
            <w:r>
              <w:t xml:space="preserve">187,393</w:t>
            </w:r>
          </w:p>
        </w:tc>
        <w:tc>
          <w:tcPr/>
          <w:p>
            <w:pPr>
              <w:pStyle w:val="Compact"/>
              <w:jc w:val="right"/>
            </w:pPr>
            <w:r>
              <w:rPr>
                <w:b/>
                <w:bCs/>
              </w:rPr>
              <w:t xml:space="preserve">&gt;187,393</w:t>
            </w:r>
          </w:p>
        </w:tc>
      </w:tr>
      <w:tr>
        <w:tc>
          <w:tcPr/>
          <w:p>
            <w:pPr>
              <w:pStyle w:val="Compact"/>
            </w:pPr>
            <w:r>
              <w:t xml:space="preserve">Adjusted EBITDA</w:t>
            </w:r>
          </w:p>
        </w:tc>
        <w:tc>
          <w:tcPr/>
          <w:p>
            <w:pPr>
              <w:pStyle w:val="Compact"/>
              <w:jc w:val="right"/>
            </w:pPr>
            <w:r>
              <w:t xml:space="preserve">$672 million</w:t>
            </w:r>
          </w:p>
        </w:tc>
        <w:tc>
          <w:tcPr/>
          <w:p>
            <w:pPr>
              <w:pStyle w:val="Compact"/>
              <w:jc w:val="right"/>
            </w:pPr>
            <w:r>
              <w:rPr>
                <w:b/>
                <w:bCs/>
              </w:rPr>
              <w:t xml:space="preserve">&gt;$672 million</w:t>
            </w:r>
          </w:p>
        </w:tc>
      </w:tr>
    </w:tbl>
    <w:p>
      <w:pPr>
        <w:pStyle w:val="BodyText"/>
      </w:pPr>
      <w:r>
        <w:t xml:space="preserve">Those thresholds also imply at least roughly</w:t>
      </w:r>
      <w:r>
        <w:t xml:space="preserve"> </w:t>
      </w:r>
      <w:r>
        <w:rPr>
          <w:b/>
          <w:bCs/>
        </w:rPr>
        <w:t xml:space="preserve">31% year-over-year unit growth</w:t>
      </w:r>
      <w:r>
        <w:t xml:space="preserve"> </w:t>
      </w:r>
      <w:r>
        <w:t xml:space="preserve">versus Q2 2025’s 143,280 units and at least roughly</w:t>
      </w:r>
      <w:r>
        <w:t xml:space="preserve"> </w:t>
      </w:r>
      <w:r>
        <w:rPr>
          <w:b/>
          <w:bCs/>
        </w:rPr>
        <w:t xml:space="preserve">12% year-over-year Adjusted EBITDA growth</w:t>
      </w:r>
      <w:r>
        <w:t xml:space="preserve"> </w:t>
      </w:r>
      <w:r>
        <w:t xml:space="preserve">versus the $601 million reported in Q2 2025. (</w:t>
      </w:r>
      <w:hyperlink r:id="rId10">
        <w:r>
          <w:rPr>
            <w:rStyle w:val="Hyperlink"/>
          </w:rPr>
          <w:t xml:space="preserve">investors.carvana.com</w:t>
        </w:r>
      </w:hyperlink>
      <w:r>
        <w:t xml:space="preserve">)</w:t>
      </w:r>
    </w:p>
    <w:p>
      <w:pPr>
        <w:pStyle w:val="BodyText"/>
      </w:pPr>
      <w:r>
        <w:t xml:space="preserve">This is therefore not simply a “beat-or-miss” event. The likely share-price debate will center on whether Carvana can</w:t>
      </w:r>
      <w:r>
        <w:t xml:space="preserve"> </w:t>
      </w:r>
      <w:r>
        <w:rPr>
          <w:b/>
          <w:bCs/>
        </w:rPr>
        <w:t xml:space="preserve">exceed its own record guidance with sufficient cushion</w:t>
      </w:r>
      <w:r>
        <w:t xml:space="preserve">, while preserving the credibility of its margin-expansion and multi-year growth narrative.</w:t>
      </w:r>
    </w:p>
    <w:bookmarkEnd w:id="11"/>
    <w:bookmarkStart w:id="17" w:name="what-investors-should-focus-on"/>
    <w:p>
      <w:pPr>
        <w:pStyle w:val="Heading2"/>
      </w:pPr>
      <w:r>
        <w:t xml:space="preserve">What investors should focus on</w:t>
      </w:r>
    </w:p>
    <w:bookmarkStart w:id="12" w:name="X7f1d5ee8f724cb9beb3893d8e4fb498213b8277"/>
    <w:p>
      <w:pPr>
        <w:pStyle w:val="Heading3"/>
      </w:pPr>
      <w:r>
        <w:t xml:space="preserve">1. Unit growth: the primary scoreboard</w:t>
      </w:r>
    </w:p>
    <w:p>
      <w:pPr>
        <w:pStyle w:val="FirstParagraph"/>
      </w:pPr>
      <w:r>
        <w:t xml:space="preserve">Carvana sold 187,393 retail units in Q1, up 40% year over year, and said Q2 units would rise sequentially. The most important reported number will be the magnitude of that sequential increase—not merely whether the company clears the record threshold.</w:t>
      </w:r>
    </w:p>
    <w:p>
      <w:pPr>
        <w:pStyle w:val="BodyText"/>
      </w:pPr>
      <w:r>
        <w:t xml:space="preserve">A strong result would demonstrate that Carvana’s customer proposition, advertising investment, inventory availability, and operational network continue to support growth well above the broader used-vehicle market. Management has framed its long-term opportunity around scaling to</w:t>
      </w:r>
      <w:r>
        <w:t xml:space="preserve"> </w:t>
      </w:r>
      <w:r>
        <w:rPr>
          <w:b/>
          <w:bCs/>
        </w:rPr>
        <w:t xml:space="preserve">3 million annual retail units</w:t>
      </w:r>
      <w:r>
        <w:t xml:space="preserve"> </w:t>
      </w:r>
      <w:r>
        <w:t xml:space="preserve">and a</w:t>
      </w:r>
      <w:r>
        <w:t xml:space="preserve"> </w:t>
      </w:r>
      <w:r>
        <w:rPr>
          <w:b/>
          <w:bCs/>
        </w:rPr>
        <w:t xml:space="preserve">13.5% Adjusted EBITDA margin</w:t>
      </w:r>
      <w:r>
        <w:t xml:space="preserve"> </w:t>
      </w:r>
      <w:r>
        <w:t xml:space="preserve">by 2030–2035. (</w:t>
      </w:r>
      <w:hyperlink r:id="rId10">
        <w:r>
          <w:rPr>
            <w:rStyle w:val="Hyperlink"/>
          </w:rPr>
          <w:t xml:space="preserve">investors.carvana.com</w:t>
        </w:r>
      </w:hyperlink>
      <w:r>
        <w:t xml:space="preserve">)</w:t>
      </w:r>
    </w:p>
    <w:p>
      <w:pPr>
        <w:pStyle w:val="BodyText"/>
      </w:pPr>
      <w:r>
        <w:rPr>
          <w:b/>
          <w:bCs/>
        </w:rPr>
        <w:t xml:space="preserve">What matters on the call</w:t>
      </w:r>
    </w:p>
    <w:p>
      <w:pPr>
        <w:pStyle w:val="Compact"/>
        <w:numPr>
          <w:ilvl w:val="0"/>
          <w:numId w:val="1001"/>
        </w:numPr>
      </w:pPr>
      <w:r>
        <w:t xml:space="preserve">Retail-unit growth rate versus Q1’s 40% year-over-year growth.</w:t>
      </w:r>
    </w:p>
    <w:p>
      <w:pPr>
        <w:pStyle w:val="Compact"/>
        <w:numPr>
          <w:ilvl w:val="0"/>
          <w:numId w:val="1001"/>
        </w:numPr>
      </w:pPr>
      <w:r>
        <w:t xml:space="preserve">Inventory growth and vehicle turn: management said in Q1 that it would sell more vehicles if it could add inventory without compromising reconditioning and logistics execution.</w:t>
      </w:r>
    </w:p>
    <w:p>
      <w:pPr>
        <w:pStyle w:val="Compact"/>
        <w:numPr>
          <w:ilvl w:val="0"/>
          <w:numId w:val="1001"/>
        </w:numPr>
      </w:pPr>
      <w:r>
        <w:t xml:space="preserve">Any commentary on demand, conversion, credit mix, or the effect of higher fuel costs on vehicle mix.</w:t>
      </w:r>
    </w:p>
    <w:bookmarkEnd w:id="12"/>
    <w:bookmarkStart w:id="13" w:name="X6413e735a656051819c2023f72babadce893c02"/>
    <w:p>
      <w:pPr>
        <w:pStyle w:val="Heading3"/>
      </w:pPr>
      <w:r>
        <w:t xml:space="preserve">2. Retail GPU is the central margin swing factor</w:t>
      </w:r>
    </w:p>
    <w:p>
      <w:pPr>
        <w:pStyle w:val="FirstParagraph"/>
      </w:pPr>
      <w:r>
        <w:t xml:space="preserve">Q1 total GPU was</w:t>
      </w:r>
      <w:r>
        <w:t xml:space="preserve"> </w:t>
      </w:r>
      <w:r>
        <w:rPr>
          <w:b/>
          <w:bCs/>
        </w:rPr>
        <w:t xml:space="preserve">$6,783</w:t>
      </w:r>
      <w:r>
        <w:t xml:space="preserve">, down</w:t>
      </w:r>
      <w:r>
        <w:t xml:space="preserve"> </w:t>
      </w:r>
      <m:oMath>
        <m:r>
          <m:t>155</m:t>
        </m:r>
        <m:r>
          <m:t>y</m:t>
        </m:r>
        <m:r>
          <m:t>e</m:t>
        </m:r>
        <m:r>
          <m:t>a</m:t>
        </m:r>
        <m:r>
          <m:t>r</m:t>
        </m:r>
        <m:r>
          <m:t>o</m:t>
        </m:r>
        <m:r>
          <m:t>v</m:t>
        </m:r>
        <m:r>
          <m:t>e</m:t>
        </m:r>
        <m:r>
          <m:t>r</m:t>
        </m:r>
        <m:r>
          <m:t>y</m:t>
        </m:r>
        <m:r>
          <m:t>e</m:t>
        </m:r>
        <m:r>
          <m:t>a</m:t>
        </m:r>
        <m:r>
          <m:t>r</m:t>
        </m:r>
        <m:r>
          <m:rPr>
            <m:sty m:val="p"/>
          </m:rPr>
          <m:t>,</m:t>
        </m:r>
        <m:r>
          <m:t>w</m:t>
        </m:r>
        <m:r>
          <m:t>h</m:t>
        </m:r>
        <m:r>
          <m:t>i</m:t>
        </m:r>
        <m:r>
          <m:t>l</m:t>
        </m:r>
        <m:r>
          <m:t>e</m:t>
        </m:r>
        <m:r>
          <m:t>n</m:t>
        </m:r>
        <m:r>
          <m:t>o</m:t>
        </m:r>
        <m:r>
          <m:t>n</m:t>
        </m:r>
        <m:r>
          <m:rPr>
            <m:sty m:val="p"/>
          </m:rPr>
          <m:t>−</m:t>
        </m:r>
        <m:r>
          <m:t>G</m:t>
        </m:r>
        <m:r>
          <m:t>A</m:t>
        </m:r>
        <m:r>
          <m:t>A</m:t>
        </m:r>
        <m:r>
          <m:t>P</m:t>
        </m:r>
        <m:r>
          <m:t>r</m:t>
        </m:r>
        <m:r>
          <m:t>e</m:t>
        </m:r>
        <m:r>
          <m:t>t</m:t>
        </m:r>
        <m:r>
          <m:t>a</m:t>
        </m:r>
        <m:r>
          <m:t>i</m:t>
        </m:r>
        <m:r>
          <m:t>l</m:t>
        </m:r>
        <m:r>
          <m:t>G</m:t>
        </m:r>
        <m:r>
          <m:t>P</m:t>
        </m:r>
        <m:r>
          <m:t>U</m:t>
        </m:r>
        <m:r>
          <m:t>w</m:t>
        </m:r>
        <m:r>
          <m:t>a</m:t>
        </m:r>
        <m:r>
          <m:t>s</m:t>
        </m:r>
        <m:r>
          <m:rPr>
            <m:sty m:val="p"/>
          </m:rPr>
          <m:t>*</m:t>
        </m:r>
        <m:r>
          <m:rPr>
            <m:sty m:val="p"/>
          </m:rPr>
          <m:t>*</m:t>
        </m:r>
      </m:oMath>
      <w:r>
        <w:t xml:space="preserve">3,250**, down $58. The Q1 performance reflected higher reconditioning costs and lower shipping fees, partially offset by a sequential improvement in retail GPU.</w:t>
      </w:r>
    </w:p>
    <w:p>
      <w:pPr>
        <w:pStyle w:val="BodyText"/>
      </w:pPr>
      <w:r>
        <w:t xml:space="preserve">For Q2, management was direct: it expected retail GPU to increase sequentially but decline year over year, citing:</w:t>
      </w:r>
    </w:p>
    <w:p>
      <w:pPr>
        <w:pStyle w:val="Compact"/>
        <w:numPr>
          <w:ilvl w:val="0"/>
          <w:numId w:val="1002"/>
        </w:numPr>
      </w:pPr>
      <w:r>
        <w:t xml:space="preserve">roughly</w:t>
      </w:r>
      <w:r>
        <w:t xml:space="preserve"> </w:t>
      </w:r>
      <w:r>
        <w:rPr>
          <w:b/>
          <w:bCs/>
        </w:rPr>
        <w:t xml:space="preserve">$100</w:t>
      </w:r>
      <w:r>
        <w:t xml:space="preserve"> </w:t>
      </w:r>
      <w:r>
        <w:t xml:space="preserve">of tariff-related benefits in the prior-year comparison,</w:t>
      </w:r>
    </w:p>
    <w:p>
      <w:pPr>
        <w:pStyle w:val="Compact"/>
        <w:numPr>
          <w:ilvl w:val="0"/>
          <w:numId w:val="1002"/>
        </w:numPr>
      </w:pPr>
      <w:r>
        <w:t xml:space="preserve">lower shipping-fee revenue,</w:t>
      </w:r>
    </w:p>
    <w:p>
      <w:pPr>
        <w:pStyle w:val="Compact"/>
        <w:numPr>
          <w:ilvl w:val="0"/>
          <w:numId w:val="1002"/>
        </w:numPr>
      </w:pPr>
      <w:r>
        <w:t xml:space="preserve">higher non-vehicle costs, and</w:t>
      </w:r>
    </w:p>
    <w:p>
      <w:pPr>
        <w:pStyle w:val="Compact"/>
        <w:numPr>
          <w:ilvl w:val="0"/>
          <w:numId w:val="1002"/>
        </w:numPr>
      </w:pPr>
      <w:r>
        <w:t xml:space="preserve">roughly</w:t>
      </w:r>
      <w:r>
        <w:t xml:space="preserve"> </w:t>
      </w:r>
      <m:oMath>
        <m:r>
          <m:t>100</m:t>
        </m:r>
        <m:r>
          <m:rPr>
            <m:sty m:val="p"/>
          </m:rPr>
          <m:t>–</m:t>
        </m:r>
      </m:oMath>
      <w:r>
        <w:rPr>
          <w:b/>
          <w:bCs/>
        </w:rPr>
        <w:t xml:space="preserve">200</w:t>
      </w:r>
      <w:r>
        <w:t xml:space="preserve"> </w:t>
      </w:r>
      <w:r>
        <w:t xml:space="preserve">of pressure from narrower industry wholesale-to-retail spreads. (</w:t>
      </w:r>
      <w:hyperlink r:id="rId10">
        <w:r>
          <w:rPr>
            <w:rStyle w:val="Hyperlink"/>
          </w:rPr>
          <w:t xml:space="preserve">investors.carvana.com</w:t>
        </w:r>
      </w:hyperlink>
      <w:r>
        <w:t xml:space="preserve">)</w:t>
      </w:r>
    </w:p>
    <w:p>
      <w:pPr>
        <w:pStyle w:val="FirstParagraph"/>
      </w:pPr>
      <w:r>
        <w:t xml:space="preserve">This makes the composition of results especially important. Investors should not interpret a year-over-year GPU decline in isolation as a structural problem if it is consistent with the disclosed headwinds and accompanied by stronger reconditioning productivity, SG&amp;A leverage, and record EBITDA. Conversely, a larger-than-anticipated GPU decline would raise concern that the wholesale-to-retail spread compression or operational cost pressures are more persistent than management expects.</w:t>
      </w:r>
    </w:p>
    <w:bookmarkEnd w:id="13"/>
    <w:bookmarkStart w:id="14" w:name="X2ba1e925a0f297b8506ffc1719773f7a04c65a0"/>
    <w:p>
      <w:pPr>
        <w:pStyle w:val="Heading3"/>
      </w:pPr>
      <w:r>
        <w:t xml:space="preserve">3. Reconditioning execution: proof that Q1’s recovery is flowing through</w:t>
      </w:r>
    </w:p>
    <w:p>
      <w:pPr>
        <w:pStyle w:val="FirstParagraph"/>
      </w:pPr>
      <w:r>
        <w:t xml:space="preserve">Reconditioning was the principal operational issue entering 2026. In Q1, Carvana said labor efficiency in April had recovered to just below all-time-best levels after the Q4 disruption, but noted that the accounting benefit would lag because reconditioning costs are recognized when vehicles are produced rather than when they are sold.</w:t>
      </w:r>
    </w:p>
    <w:p>
      <w:pPr>
        <w:pStyle w:val="BodyText"/>
      </w:pPr>
      <w:r>
        <w:t xml:space="preserve">Q2 is the first report where investors should expect clearer evidence that the operational recovery is reaching reported gross profit. Key questions include:</w:t>
      </w:r>
    </w:p>
    <w:p>
      <w:pPr>
        <w:pStyle w:val="Compact"/>
        <w:numPr>
          <w:ilvl w:val="0"/>
          <w:numId w:val="1003"/>
        </w:numPr>
      </w:pPr>
      <w:r>
        <w:t xml:space="preserve">Has labor-hours-per-unit returned to, or surpassed, prior best levels?</w:t>
      </w:r>
    </w:p>
    <w:p>
      <w:pPr>
        <w:pStyle w:val="Compact"/>
        <w:numPr>
          <w:ilvl w:val="0"/>
          <w:numId w:val="1003"/>
        </w:numPr>
      </w:pPr>
      <w:r>
        <w:t xml:space="preserve">Are centralized planning tools and new operating software reducing the performance gap between the strongest and weakest inspection/reconditioning centers?</w:t>
      </w:r>
    </w:p>
    <w:p>
      <w:pPr>
        <w:pStyle w:val="Compact"/>
        <w:numPr>
          <w:ilvl w:val="0"/>
          <w:numId w:val="1003"/>
        </w:numPr>
      </w:pPr>
      <w:r>
        <w:t xml:space="preserve">Is retail GPU improving sequentially as indicated?</w:t>
      </w:r>
    </w:p>
    <w:p>
      <w:pPr>
        <w:pStyle w:val="Compact"/>
        <w:numPr>
          <w:ilvl w:val="0"/>
          <w:numId w:val="1003"/>
        </w:numPr>
      </w:pPr>
      <w:r>
        <w:t xml:space="preserve">Is the company maintaining vehicle quality and customer experience while scaling production?</w:t>
      </w:r>
    </w:p>
    <w:p>
      <w:pPr>
        <w:pStyle w:val="FirstParagraph"/>
      </w:pPr>
      <w:r>
        <w:t xml:space="preserve">This is a high-value datapoint because Carvana’s long-term margin upside depends not only on fixed-cost leverage, but also on reliably operating a complex national reconditioning network at much larger volumes.</w:t>
      </w:r>
    </w:p>
    <w:bookmarkEnd w:id="14"/>
    <w:bookmarkStart w:id="15" w:name="X7e56bac16c064dcc0495bb305821c9ed4139e9c"/>
    <w:p>
      <w:pPr>
        <w:pStyle w:val="Heading3"/>
      </w:pPr>
      <w:r>
        <w:t xml:space="preserve">4. EBITDA margin: growth quality versus reinvestment</w:t>
      </w:r>
    </w:p>
    <w:p>
      <w:pPr>
        <w:pStyle w:val="FirstParagraph"/>
      </w:pPr>
      <w:r>
        <w:t xml:space="preserve">Carvana produced $672 million of Adjusted EBITDA in Q1, or a</w:t>
      </w:r>
      <w:r>
        <w:t xml:space="preserve"> </w:t>
      </w:r>
      <w:r>
        <w:rPr>
          <w:b/>
          <w:bCs/>
        </w:rPr>
        <w:t xml:space="preserve">10.4% margin</w:t>
      </w:r>
      <w:r>
        <w:t xml:space="preserve">, compared with $601 million and a</w:t>
      </w:r>
      <w:r>
        <w:t xml:space="preserve"> </w:t>
      </w:r>
      <w:r>
        <w:rPr>
          <w:b/>
          <w:bCs/>
        </w:rPr>
        <w:t xml:space="preserve">12.4% margin</w:t>
      </w:r>
      <w:r>
        <w:t xml:space="preserve"> </w:t>
      </w:r>
      <w:r>
        <w:t xml:space="preserve">in Q2 2025. The Q1 margin comparison was affected by revenue mix and the gross-versus-net revenue treatment of certain vehicles acquired from a marketplace partner, so EBITDA dollars and per-unit economics deserve at least as much attention as the headline margin percentage. (</w:t>
      </w:r>
      <w:hyperlink r:id="rId10">
        <w:r>
          <w:rPr>
            <w:rStyle w:val="Hyperlink"/>
          </w:rPr>
          <w:t xml:space="preserve">investors.carvana.com</w:t>
        </w:r>
      </w:hyperlink>
      <w:r>
        <w:t xml:space="preserve">)</w:t>
      </w:r>
    </w:p>
    <w:p>
      <w:pPr>
        <w:pStyle w:val="BodyText"/>
      </w:pPr>
      <w:r>
        <w:t xml:space="preserve">Management continues to argue that it can reach 13.5% Adjusted EBITDA margin through fixed-cost leverage and a more mature advertising-spend profile, while passing future operational gains back to customers through improved pricing, financing, shipping, or selection. That means investors should listen for the balance between:</w:t>
      </w:r>
    </w:p>
    <w:p>
      <w:pPr>
        <w:pStyle w:val="Compact"/>
        <w:numPr>
          <w:ilvl w:val="0"/>
          <w:numId w:val="1004"/>
        </w:numPr>
      </w:pPr>
      <w:r>
        <w:rPr>
          <w:b/>
          <w:bCs/>
        </w:rPr>
        <w:t xml:space="preserve">current margins and earnings power</w:t>
      </w:r>
      <w:r>
        <w:t xml:space="preserve">, and</w:t>
      </w:r>
    </w:p>
    <w:p>
      <w:pPr>
        <w:pStyle w:val="Compact"/>
        <w:numPr>
          <w:ilvl w:val="0"/>
          <w:numId w:val="1004"/>
        </w:numPr>
      </w:pPr>
      <w:r>
        <w:rPr>
          <w:b/>
          <w:bCs/>
        </w:rPr>
        <w:t xml:space="preserve">deliberate reinvestment</w:t>
      </w:r>
      <w:r>
        <w:t xml:space="preserve"> </w:t>
      </w:r>
      <w:r>
        <w:t xml:space="preserve">in advertising, technology, capacity, and customer value.</w:t>
      </w:r>
    </w:p>
    <w:p>
      <w:pPr>
        <w:pStyle w:val="FirstParagraph"/>
      </w:pPr>
      <w:r>
        <w:t xml:space="preserve">A record EBITDA result accompanied by controlled SG&amp;A per unit and credible reinvestment discipline would support the long-term framework.</w:t>
      </w:r>
    </w:p>
    <w:bookmarkEnd w:id="15"/>
    <w:bookmarkStart w:id="16" w:name="X70feb4e11f0a84457a89384bf503ed9228bf874"/>
    <w:p>
      <w:pPr>
        <w:pStyle w:val="Heading3"/>
      </w:pPr>
      <w:r>
        <w:t xml:space="preserve">5. Capacity, ADESA, and capital allocation</w:t>
      </w:r>
    </w:p>
    <w:p>
      <w:pPr>
        <w:pStyle w:val="FirstParagraph"/>
      </w:pPr>
      <w:r>
        <w:t xml:space="preserve">Carvana entered Q2 with 18 inspection/reconditioning centers and 16 integrated ADESA sites. Management expects to integrate</w:t>
      </w:r>
      <w:r>
        <w:t xml:space="preserve"> </w:t>
      </w:r>
      <w:r>
        <w:rPr>
          <w:b/>
          <w:bCs/>
        </w:rPr>
        <w:t xml:space="preserve">6–8 additional ADESA sites in 2026</w:t>
      </w:r>
      <w:r>
        <w:t xml:space="preserve"> </w:t>
      </w:r>
      <w:r>
        <w:t xml:space="preserve">and begin selected full build-outs of ADESA locations. It reported approximately</w:t>
      </w:r>
      <w:r>
        <w:t xml:space="preserve"> </w:t>
      </w:r>
      <w:r>
        <w:rPr>
          <w:b/>
          <w:bCs/>
        </w:rPr>
        <w:t xml:space="preserve">1.5 million units of fully built annual retail capacity</w:t>
      </w:r>
      <w:r>
        <w:t xml:space="preserve"> </w:t>
      </w:r>
      <w:r>
        <w:t xml:space="preserve">and real estate supporting up to</w:t>
      </w:r>
      <w:r>
        <w:t xml:space="preserve"> </w:t>
      </w:r>
      <w:r>
        <w:rPr>
          <w:b/>
          <w:bCs/>
        </w:rPr>
        <w:t xml:space="preserve">3 million units</w:t>
      </w:r>
      <w:r>
        <w:t xml:space="preserve"> </w:t>
      </w:r>
      <w:r>
        <w:t xml:space="preserve">after further build-out. (</w:t>
      </w:r>
      <w:hyperlink r:id="rId10">
        <w:r>
          <w:rPr>
            <w:rStyle w:val="Hyperlink"/>
          </w:rPr>
          <w:t xml:space="preserve">investors.carvana.com</w:t>
        </w:r>
      </w:hyperlink>
      <w:r>
        <w:t xml:space="preserve">)</w:t>
      </w:r>
    </w:p>
    <w:p>
      <w:pPr>
        <w:pStyle w:val="BodyText"/>
      </w:pPr>
      <w:r>
        <w:t xml:space="preserve">For this quarter, investors should assess whether capacity expansion remains capital-efficient and whether it is translating into better inventory selection, shorter delivery distances, faster turns, and higher conversion. Any update on the company’s newer franchised-dealership activity or ADESA Clear digital-wholesale platform could also matter, although management has previously characterized the new-car initiative as early-stage.</w:t>
      </w:r>
    </w:p>
    <w:bookmarkEnd w:id="16"/>
    <w:bookmarkEnd w:id="17"/>
    <w:bookmarkStart w:id="18" w:name="Xd369558efa957921469112030e5e70fe347e3b7"/>
    <w:p>
      <w:pPr>
        <w:pStyle w:val="Heading2"/>
      </w:pPr>
      <w:r>
        <w:t xml:space="preserve">Balance sheet: much improved, but still relevant</w:t>
      </w:r>
    </w:p>
    <w:p>
      <w:pPr>
        <w:pStyle w:val="FirstParagraph"/>
      </w:pPr>
      <w:r>
        <w:t xml:space="preserve">The balance sheet is no longer the dominant debate it was during Carvana’s restructuring period. At March 31, 2026, the company had:</w:t>
      </w:r>
    </w:p>
    <w:p>
      <w:pPr>
        <w:pStyle w:val="Compact"/>
        <w:numPr>
          <w:ilvl w:val="0"/>
          <w:numId w:val="1005"/>
        </w:numPr>
      </w:pPr>
      <w:r>
        <w:rPr>
          <w:b/>
          <w:bCs/>
        </w:rPr>
        <w:t xml:space="preserve">$2.41 billion</w:t>
      </w:r>
      <w:r>
        <w:t xml:space="preserve"> </w:t>
      </w:r>
      <w:r>
        <w:t xml:space="preserve">in cash and cash equivalents,</w:t>
      </w:r>
    </w:p>
    <w:p>
      <w:pPr>
        <w:pStyle w:val="Compact"/>
        <w:numPr>
          <w:ilvl w:val="0"/>
          <w:numId w:val="1005"/>
        </w:numPr>
      </w:pPr>
      <w:r>
        <w:rPr>
          <w:b/>
          <w:bCs/>
        </w:rPr>
        <w:t xml:space="preserve">$4.55 billion</w:t>
      </w:r>
      <w:r>
        <w:t xml:space="preserve"> </w:t>
      </w:r>
      <w:r>
        <w:t xml:space="preserve">in committed liquidity resources, and</w:t>
      </w:r>
    </w:p>
    <w:p>
      <w:pPr>
        <w:pStyle w:val="Compact"/>
        <w:numPr>
          <w:ilvl w:val="0"/>
          <w:numId w:val="1005"/>
        </w:numPr>
      </w:pPr>
      <w:r>
        <w:t xml:space="preserve">a reported net-debt-to-trailing-12-month Adjusted EBITDA ratio of</w:t>
      </w:r>
      <w:r>
        <w:t xml:space="preserve"> </w:t>
      </w:r>
      <w:r>
        <w:rPr>
          <w:b/>
          <w:bCs/>
        </w:rPr>
        <w:t xml:space="preserve">1.1x</w:t>
      </w:r>
      <w:r>
        <w:t xml:space="preserve">.</w:t>
      </w:r>
    </w:p>
    <w:p>
      <w:pPr>
        <w:pStyle w:val="FirstParagraph"/>
      </w:pPr>
      <w:r>
        <w:t xml:space="preserve">The durable question is not near-term liquidity, but whether growth investment, working-capital needs, and capacity build-outs can continue without eroding the improved financial profile. In Q1, operating cash flow was $107 million, as higher inventory and receivables absorbed cash amid rapid growth.</w:t>
      </w:r>
    </w:p>
    <w:bookmarkEnd w:id="18"/>
    <w:bookmarkStart w:id="19" w:name="stock-setup-and-expectations-risk"/>
    <w:p>
      <w:pPr>
        <w:pStyle w:val="Heading2"/>
      </w:pPr>
      <w:r>
        <w:t xml:space="preserve">Stock setup and expectations risk</w:t>
      </w:r>
    </w:p>
    <w:p>
      <w:pPr>
        <w:pStyle w:val="FirstParagraph"/>
      </w:pPr>
      <w:r>
        <w:t xml:space="preserve">CVNA closed at</w:t>
      </w:r>
      <w:r>
        <w:t xml:space="preserve"> </w:t>
      </w:r>
      <w:r>
        <w:rPr>
          <w:b/>
          <w:bCs/>
        </w:rPr>
        <w:t xml:space="preserve">$66.09 on July 28</w:t>
      </w:r>
      <w:r>
        <w:t xml:space="preserve">, down about</w:t>
      </w:r>
      <w:r>
        <w:t xml:space="preserve"> </w:t>
      </w:r>
      <w:r>
        <w:rPr>
          <w:b/>
          <w:bCs/>
        </w:rPr>
        <w:t xml:space="preserve">16.7%</w:t>
      </w:r>
      <w:r>
        <w:t xml:space="preserve"> </w:t>
      </w:r>
      <w:r>
        <w:t xml:space="preserve">from its April 29 close following Q1 earnings and down about</w:t>
      </w:r>
      <w:r>
        <w:t xml:space="preserve"> </w:t>
      </w:r>
      <w:r>
        <w:rPr>
          <w:b/>
          <w:bCs/>
        </w:rPr>
        <w:t xml:space="preserve">2.6%</w:t>
      </w:r>
      <w:r>
        <w:t xml:space="preserve"> </w:t>
      </w:r>
      <w:r>
        <w:t xml:space="preserve">from July 1. That suggests the stock is not entering the report at an obvious short-term high, but it remains a company where expectations for growth and execution are demanding.</w:t>
      </w:r>
    </w:p>
    <w:p>
      <w:pPr>
        <w:pStyle w:val="BodyText"/>
      </w:pPr>
      <w:r>
        <w:t xml:space="preserve">The most consequential reaction drivers are likely to be:</w:t>
      </w:r>
    </w:p>
    <w:p>
      <w:pPr>
        <w:pStyle w:val="Compact"/>
        <w:numPr>
          <w:ilvl w:val="0"/>
          <w:numId w:val="1006"/>
        </w:numPr>
      </w:pPr>
      <w:r>
        <w:rPr>
          <w:b/>
          <w:bCs/>
        </w:rPr>
        <w:t xml:space="preserve">Magnitude of record unit and EBITDA delivery</w:t>
      </w:r>
      <w:r>
        <w:t xml:space="preserve"> </w:t>
      </w:r>
      <w:r>
        <w:t xml:space="preserve">relative to management’s guide;</w:t>
      </w:r>
    </w:p>
    <w:p>
      <w:pPr>
        <w:pStyle w:val="Compact"/>
        <w:numPr>
          <w:ilvl w:val="0"/>
          <w:numId w:val="1006"/>
        </w:numPr>
      </w:pPr>
      <w:r>
        <w:rPr>
          <w:b/>
          <w:bCs/>
        </w:rPr>
        <w:t xml:space="preserve">Sequential retail-GPU progression</w:t>
      </w:r>
      <w:r>
        <w:t xml:space="preserve"> </w:t>
      </w:r>
      <w:r>
        <w:t xml:space="preserve">despite the disclosed year-over-year headwinds;</w:t>
      </w:r>
    </w:p>
    <w:p>
      <w:pPr>
        <w:pStyle w:val="Compact"/>
        <w:numPr>
          <w:ilvl w:val="0"/>
          <w:numId w:val="1006"/>
        </w:numPr>
      </w:pPr>
      <w:r>
        <w:rPr>
          <w:b/>
          <w:bCs/>
        </w:rPr>
        <w:t xml:space="preserve">Evidence that reconditioning efficiency gains are entering reported financials</w:t>
      </w:r>
      <w:r>
        <w:t xml:space="preserve">;</w:t>
      </w:r>
    </w:p>
    <w:p>
      <w:pPr>
        <w:pStyle w:val="Compact"/>
        <w:numPr>
          <w:ilvl w:val="0"/>
          <w:numId w:val="1006"/>
        </w:numPr>
      </w:pPr>
      <w:r>
        <w:rPr>
          <w:b/>
          <w:bCs/>
        </w:rPr>
        <w:t xml:space="preserve">Full-year 2026 commentary</w:t>
      </w:r>
      <w:r>
        <w:t xml:space="preserve">, particularly whether “significant” growth in units and EBITDA remains intact or is strengthened; and</w:t>
      </w:r>
    </w:p>
    <w:p>
      <w:pPr>
        <w:pStyle w:val="Compact"/>
        <w:numPr>
          <w:ilvl w:val="0"/>
          <w:numId w:val="1006"/>
        </w:numPr>
      </w:pPr>
      <w:r>
        <w:rPr>
          <w:b/>
          <w:bCs/>
        </w:rPr>
        <w:t xml:space="preserve">Confidence in the 13.5% long-term EBITDA-margin path</w:t>
      </w:r>
      <w:r>
        <w:t xml:space="preserve">.</w:t>
      </w:r>
    </w:p>
    <w:bookmarkEnd w:id="19"/>
    <w:bookmarkStart w:id="22" w:name="bottom-line"/>
    <w:p>
      <w:pPr>
        <w:pStyle w:val="Heading2"/>
      </w:pPr>
      <w:r>
        <w:t xml:space="preserve">Bottom line</w:t>
      </w:r>
    </w:p>
    <w:p>
      <w:pPr>
        <w:pStyle w:val="FirstParagraph"/>
      </w:pPr>
      <w:r>
        <w:t xml:space="preserve">Carvana’s Q2 report is primarily an execution test. Management has already set a high floor—sequential records in units and Adjusted EBITDA—so merely clearing those thresholds may not be enough for a decisive positive reaction. The bullish case requires a result showing that unit growth remains exceptional, reconditioning recovery is translating into better sequential economics, and investment spending is producing durable scale advantages rather than masking margin pressure.</w:t>
      </w:r>
    </w:p>
    <w:p>
      <w:pPr>
        <w:pStyle w:val="BodyText"/>
      </w:pPr>
      <w:r>
        <w:t xml:space="preserve">The bear case is not necessarily a modest year-over-year GPU decline, which management has already telegraphed. It is a result in which record volume comes with unexpectedly weak GPU, renewed reconditioning friction, rising variable costs, or less confidence in the full-year growth and long-term margin algorithm.</w:t>
      </w:r>
    </w:p>
    <w:bookmarkStart w:id="21" w:name="sources"/>
    <w:p>
      <w:pPr>
        <w:pStyle w:val="Heading3"/>
      </w:pPr>
      <w:r>
        <w:t xml:space="preserve">Sources</w:t>
      </w:r>
    </w:p>
    <w:p>
      <w:pPr>
        <w:pStyle w:val="Compact"/>
        <w:numPr>
          <w:ilvl w:val="0"/>
          <w:numId w:val="1007"/>
        </w:numPr>
      </w:pPr>
      <w:r>
        <w:t xml:space="preserve">Carvana Q1 2026 earnings release and conference-call commentary, April 29, 2026. (</w:t>
      </w:r>
      <w:hyperlink r:id="rId10">
        <w:r>
          <w:rPr>
            <w:rStyle w:val="Hyperlink"/>
          </w:rPr>
          <w:t xml:space="preserve">investors.carvana.com</w:t>
        </w:r>
      </w:hyperlink>
      <w:r>
        <w:t xml:space="preserve">)</w:t>
      </w:r>
    </w:p>
    <w:p>
      <w:pPr>
        <w:pStyle w:val="Compact"/>
        <w:numPr>
          <w:ilvl w:val="0"/>
          <w:numId w:val="1007"/>
        </w:numPr>
      </w:pPr>
      <w:r>
        <w:t xml:space="preserve">Carvana Q2 2025 earnings release, July 30, 2025. (</w:t>
      </w:r>
      <w:hyperlink r:id="rId20">
        <w:r>
          <w:rPr>
            <w:rStyle w:val="Hyperlink"/>
          </w:rPr>
          <w:t xml:space="preserve">investors.carvana.com</w:t>
        </w:r>
      </w:hyperlink>
      <w:r>
        <w:t xml:space="preserve">)</w:t>
      </w:r>
    </w:p>
    <w:p>
      <w:pPr>
        <w:pStyle w:val="Compact"/>
        <w:numPr>
          <w:ilvl w:val="0"/>
          <w:numId w:val="1007"/>
        </w:numPr>
      </w:pPr>
      <w:r>
        <w:t xml:space="preserve">Carvana’s Q2 2026 reporting-date announcement, July 1, 2026. (</w:t>
      </w:r>
      <w:hyperlink r:id="rId9">
        <w:r>
          <w:rPr>
            <w:rStyle w:val="Hyperlink"/>
          </w:rPr>
          <w:t xml:space="preserve">investors.carvana.com</w:t>
        </w:r>
      </w:hyperlink>
      <w:r>
        <w:t xml:space="preserve">)</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investors.carvana.com/news-releases/2025/07-30-2025-210600779?utm_source=openai" TargetMode="External" /><Relationship Type="http://schemas.openxmlformats.org/officeDocument/2006/relationships/hyperlink" Id="rId10" Target="https://investors.carvana.com/news-releases/2026/04-29-2026-210512659?utm_source=openai" TargetMode="External" /><Relationship Type="http://schemas.openxmlformats.org/officeDocument/2006/relationships/hyperlink" Id="rId9" Target="https://investors.carvana.com/news-releases/2026/07-01-2026-130020211?utm_source=openai" TargetMode="External" /></Relationships>
</file>

<file path=word/_rels/footnotes.xml.rels><?xml version="1.0" encoding="UTF-8"?><Relationships xmlns="http://schemas.openxmlformats.org/package/2006/relationships"><Relationship Type="http://schemas.openxmlformats.org/officeDocument/2006/relationships/hyperlink" Id="rId20" Target="https://investors.carvana.com/news-releases/2025/07-30-2025-210600779?utm_source=openai" TargetMode="External" /><Relationship Type="http://schemas.openxmlformats.org/officeDocument/2006/relationships/hyperlink" Id="rId10" Target="https://investors.carvana.com/news-releases/2026/04-29-2026-210512659?utm_source=openai" TargetMode="External" /><Relationship Type="http://schemas.openxmlformats.org/officeDocument/2006/relationships/hyperlink" Id="rId9" Target="https://investors.carvana.com/news-releases/2026/07-01-2026-130020211?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2026-07-29T01:43:54Z</dcterms:created>
  <dcterms:modified xsi:type="dcterms:W3CDTF">2026-07-29T01:43:54Z</dcterms:modified>
</cp:coreProperties>
</file>

<file path=docProps/custom.xml><?xml version="1.0" encoding="utf-8"?>
<Properties xmlns="http://schemas.openxmlformats.org/officeDocument/2006/custom-properties" xmlns:vt="http://schemas.openxmlformats.org/officeDocument/2006/docPropsVTypes"/>
</file>