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Carvana Co. (CVNA)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Carvana Co.</w:t>
            </w:r>
          </w:p>
        </w:tc>
        <w:tc>
          <w:tcPr>
            <w:tcW w:type="dxa" w:w="2160"/>
          </w:tcPr>
          <w:p>
            <w:r>
              <w:rPr>
                <w:rFonts w:ascii="Calibri" w:hAnsi="Calibri"/>
                <w:b/>
                <w:sz w:val="22"/>
              </w:rPr>
              <w:t>Earnings Date</w:t>
            </w:r>
          </w:p>
        </w:tc>
        <w:tc>
          <w:tcPr>
            <w:tcW w:type="dxa" w:w="2160"/>
          </w:tcPr>
          <w:p>
            <w:r>
              <w:rPr>
                <w:rFonts w:ascii="Calibri" w:hAnsi="Calibri"/>
                <w:sz w:val="22"/>
              </w:rPr>
              <w:t>July 29, 2026 (After Market Close)</w:t>
            </w:r>
          </w:p>
        </w:tc>
      </w:tr>
      <w:tr>
        <w:tc>
          <w:tcPr>
            <w:tcW w:type="dxa" w:w="2160"/>
          </w:tcPr>
          <w:p>
            <w:r>
              <w:rPr>
                <w:rFonts w:ascii="Calibri" w:hAnsi="Calibri"/>
                <w:b/>
                <w:sz w:val="22"/>
              </w:rPr>
              <w:t>Ticker</w:t>
            </w:r>
          </w:p>
        </w:tc>
        <w:tc>
          <w:tcPr>
            <w:tcW w:type="dxa" w:w="2160"/>
          </w:tcPr>
          <w:p>
            <w:r>
              <w:rPr>
                <w:rFonts w:ascii="Calibri" w:hAnsi="Calibri"/>
                <w:sz w:val="22"/>
              </w:rPr>
              <w:t>CVNA (NYSE)</w:t>
            </w:r>
          </w:p>
        </w:tc>
        <w:tc>
          <w:tcPr>
            <w:tcW w:type="dxa" w:w="2160"/>
          </w:tcPr>
          <w:p>
            <w:r>
              <w:rPr>
                <w:rFonts w:ascii="Calibri" w:hAnsi="Calibri"/>
                <w:b/>
                <w:sz w:val="22"/>
              </w:rPr>
              <w:t>Prepared Date</w:t>
            </w:r>
          </w:p>
        </w:tc>
        <w:tc>
          <w:tcPr>
            <w:tcW w:type="dxa" w:w="2160"/>
          </w:tcPr>
          <w:p>
            <w:r>
              <w:rPr>
                <w:rFonts w:ascii="Calibri" w:hAnsi="Calibri"/>
                <w:sz w:val="22"/>
              </w:rPr>
              <w:t>July 28, 2026</w:t>
            </w:r>
          </w:p>
        </w:tc>
      </w:tr>
      <w:tr>
        <w:tc>
          <w:tcPr>
            <w:tcW w:type="dxa" w:w="2160"/>
          </w:tcPr>
          <w:p>
            <w:r>
              <w:rPr>
                <w:rFonts w:ascii="Calibri" w:hAnsi="Calibri"/>
                <w:b/>
                <w:sz w:val="22"/>
              </w:rPr>
              <w:t>Reporting Period</w:t>
            </w:r>
          </w:p>
        </w:tc>
        <w:tc>
          <w:tcPr>
            <w:tcW w:type="dxa" w:w="2160"/>
          </w:tcPr>
          <w:p>
            <w:r>
              <w:rPr>
                <w:rFonts w:ascii="Calibri" w:hAnsi="Calibri"/>
                <w:sz w:val="22"/>
              </w:rPr>
              <w:t>Q2 2026 (April–June 2026)</w:t>
            </w:r>
          </w:p>
        </w:tc>
        <w:tc>
          <w:tcPr>
            <w:tcW w:type="dxa" w:w="2160"/>
          </w:tcPr>
          <w:p>
            <w:r>
              <w:rPr>
                <w:rFonts w:ascii="Calibri" w:hAnsi="Calibri"/>
                <w:b/>
                <w:sz w:val="22"/>
              </w:rPr>
              <w:t>Note</w:t>
            </w:r>
          </w:p>
        </w:tc>
        <w:tc>
          <w:tcPr>
            <w:tcW w:type="dxa" w:w="2160"/>
          </w:tcPr>
          <w:p>
            <w:r>
              <w:rPr>
                <w:rFonts w:ascii="Calibri" w:hAnsi="Calibri"/>
                <w:sz w:val="22"/>
              </w:rPr>
              <w:t>All per-share figures reflect 5-for-1 stock split effective May 8,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constructive for a beat on retail units and Adjusted EBITDA — management guided both to all-time records sequentially — but the key swing factor is whether wholesale-to-retail spread compression and tariff headwinds hit the high end or low end of the flagged $100–$200/unit retail GPU impact.</w:t>
      </w:r>
    </w:p>
    <w:p>
      <w:r>
        <w:rPr>
          <w:rFonts w:ascii="Calibri" w:hAnsi="Calibri"/>
          <w:color w:val="525866"/>
          <w:sz w:val="22"/>
        </w:rPr>
        <w:t xml:space="preserve">Heading into Q2 2026, the bar for Carvana is high but arguably well-telegraphed: management guided explicitly to sequential all-time records in both retail units sold and Adjusted EBITDA, and consensus has largely followed that guidance with estimates of ~195,633 units and ~$761M in Adjusted EBITDA. </w:t>
      </w:r>
      <w:r>
        <w:rPr>
          <w:rFonts w:ascii="Calibri" w:hAnsi="Calibri"/>
          <w:b/>
          <w:color w:val="525866"/>
          <w:sz w:val="22"/>
        </w:rPr>
        <w:t>Estimate revisions have been modestly positive since the Q1 print</w:t>
      </w:r>
      <w:r>
        <w:rPr>
          <w:rFonts w:ascii="Calibri" w:hAnsi="Calibri"/>
          <w:color w:val="525866"/>
          <w:sz w:val="22"/>
        </w:rPr>
        <w:t xml:space="preserve"> (retail unit consensus up ~220 units, EBITDA consensus down ~$3M — essentially flat), suggesting the street has anchored tightly to guidance rather than building in incremental upside. Management's tone on the Q1 call was highly confident — describing Q1 as "another outstanding quarter" and the ninth consecutive quarter of being the most profitable and fastest-growing auto retailer — though they proactively flagged two specific Q2 headwinds: (1) ~$100 of tariff-related benefits in the prior-year period that will not recur, and (2) an estimated $100–$200/unit impact from narrower industry-wide wholesale-to-retail spread compression, both of which are expected to pressure retail GPU year-over-year even as it improves sequentially. </w:t>
      </w:r>
      <w:r>
        <w:rPr>
          <w:rFonts w:ascii="Calibri" w:hAnsi="Calibri"/>
          <w:b/>
          <w:color w:val="525866"/>
          <w:sz w:val="22"/>
        </w:rPr>
        <w:t>The stock has given back ~17% since the Q1 earnings date</w:t>
      </w:r>
      <w:r>
        <w:rPr>
          <w:rFonts w:ascii="Calibri" w:hAnsi="Calibri"/>
          <w:color w:val="525866"/>
          <w:sz w:val="22"/>
        </w:rPr>
        <w:t xml:space="preserve"> (indexed to 83 vs. base 100), meaningfully underperforming both KMX (+54%) and the S&amp;P 500 (+4%), suggesting the market has already partially de-rated the near-term GPU story — which could set up a relief rally if the spread compression lands at the low end of guidance. The single biggest wildcard is the pace of wholesale-to-retail spread normalization: KMX's June-quarter results (reported June 17) showed GPU came in better than their own $300/unit guidance, and ABG's Q2 2026 results (reported July 28) showed used PVR up 5% sequentially — both read-throughs suggest the pricing environment may be stabilizing faster than feared, which would be a positive read-through for CVNA's retail GPU.</w:t>
      </w:r>
    </w:p>
    <w:p>
      <w:r>
        <w:rPr>
          <w:rFonts w:ascii="Calibri" w:hAnsi="Calibri"/>
          <w:b/>
          <w:color w:val="525866"/>
          <w:sz w:val="22"/>
        </w:rPr>
        <w:t xml:space="preserve">Bar: </w:t>
      </w:r>
      <w:r>
        <w:rPr>
          <w:rFonts w:ascii="Calibri" w:hAnsi="Calibri"/>
          <w:color w:val="525866"/>
          <w:sz w:val="22"/>
        </w:rPr>
        <w:t>Consensus is a moderately high bar — retail units at ~195,633 (+37% YoY) and Adjusted EBITDA at ~$761M (+27% YoY) — but both are anchored to management's own guidance, making a miss on units or EBITDA a meaningful negative surprise.</w:t>
      </w:r>
    </w:p>
    <w:p>
      <w:r>
        <w:rPr>
          <w:rFonts w:ascii="Calibri" w:hAnsi="Calibri"/>
          <w:b/>
          <w:color w:val="525866"/>
          <w:sz w:val="22"/>
        </w:rPr>
        <w:t xml:space="preserve">Guidance/Tone: </w:t>
      </w:r>
      <w:r>
        <w:rPr>
          <w:rFonts w:ascii="Calibri" w:hAnsi="Calibri"/>
          <w:color w:val="525866"/>
          <w:sz w:val="22"/>
        </w:rPr>
        <w:t>Management's posture is highly confident and unchanged since Q1 earnings; no post-earnings guidance revisions or 8-K updates have been filed. The Slate Auto warrant disclosure (June 2026) and 5-for-1 stock split (May 2026) are the only material corporate events.</w:t>
      </w:r>
    </w:p>
    <w:p>
      <w:r>
        <w:rPr>
          <w:rFonts w:ascii="Calibri" w:hAnsi="Calibri"/>
          <w:b/>
          <w:color w:val="525866"/>
          <w:sz w:val="22"/>
        </w:rPr>
        <w:t xml:space="preserve">Estimate Trajectory: </w:t>
      </w:r>
      <w:r>
        <w:rPr>
          <w:rFonts w:ascii="Calibri" w:hAnsi="Calibri"/>
          <w:color w:val="525866"/>
          <w:sz w:val="22"/>
        </w:rPr>
        <w:t>Revisions are essentially flat since the Q1 print — retail unit consensus moved +220 units and EBITDA moved -$3M — indicating the street is tracking guidance closely with no incremental cushion or risk built in.</w:t>
      </w:r>
    </w:p>
    <w:p>
      <w:r>
        <w:rPr>
          <w:rFonts w:ascii="Calibri" w:hAnsi="Calibri"/>
          <w:b/>
          <w:color w:val="525866"/>
          <w:sz w:val="22"/>
        </w:rPr>
        <w:t xml:space="preserve">Stock Setup: </w:t>
      </w:r>
      <w:r>
        <w:rPr>
          <w:rFonts w:ascii="Calibri" w:hAnsi="Calibri"/>
          <w:color w:val="525866"/>
          <w:sz w:val="22"/>
        </w:rPr>
        <w:t>CVNA has underperformed peers and the market since Q1 earnings, down ~17% vs. KMX +54% and SPY +4%. The de-rating appears driven by GPU compression concerns rather than unit growth skepticism, which means a better-than-feared GPU print could be the catalyst for re-rating.</w:t>
      </w:r>
    </w:p>
    <w:p>
      <w:r>
        <w:rPr>
          <w:rFonts w:ascii="Calibri" w:hAnsi="Calibri"/>
          <w:b/>
          <w:color w:val="525866"/>
          <w:sz w:val="22"/>
        </w:rPr>
        <w:t xml:space="preserve">Wildcard: </w:t>
      </w:r>
      <w:r>
        <w:rPr>
          <w:rFonts w:ascii="Calibri" w:hAnsi="Calibri"/>
          <w:color w:val="525866"/>
          <w:sz w:val="22"/>
        </w:rPr>
        <w:t>The pace of wholesale-to-retail spread normalization. KMX's Q1 FY2027 GPU came in better than their own guidance, and ABG's Q2 2026 used PVR rose 5% sequentially — if CVNA's retail GPU lands at the high end of the guided range (i.e., spread compression closer to $100 than $200/unit), the stock could re-rate sharply higher.</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moderately high bar anchored to management's own guidance for sequential all-time records. </w:t>
      </w:r>
      <w:r>
        <w:rPr>
          <w:rFonts w:ascii="Calibri" w:hAnsi="Calibri"/>
          <w:b/>
          <w:color w:val="525866"/>
          <w:sz w:val="22"/>
        </w:rPr>
        <w:t>Retail units sold is the primary growth KPI and Adjusted EBITDA is the profitability swing factor</w:t>
      </w:r>
      <w:r>
        <w:rPr>
          <w:rFonts w:ascii="Calibri" w:hAnsi="Calibri"/>
          <w:color w:val="525866"/>
          <w:sz w:val="22"/>
        </w:rPr>
        <w:t xml:space="preserve"> — retail GPU year-over-year compression is the biggest known risk heading into the print.</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Retail Units Sold (#)</w:t>
            </w:r>
          </w:p>
        </w:tc>
        <w:tc>
          <w:tcPr>
            <w:tcW w:type="dxa" w:w="1234"/>
          </w:tcPr>
          <w:p>
            <w:r>
              <w:rPr>
                <w:rFonts w:ascii="Calibri" w:hAnsi="Calibri"/>
                <w:sz w:val="22"/>
              </w:rPr>
              <w:t>187,393</w:t>
            </w:r>
          </w:p>
        </w:tc>
        <w:tc>
          <w:tcPr>
            <w:tcW w:type="dxa" w:w="1234"/>
          </w:tcPr>
          <w:p>
            <w:r>
              <w:rPr>
                <w:rFonts w:ascii="Calibri" w:hAnsi="Calibri"/>
                <w:sz w:val="22"/>
              </w:rPr>
              <w:t>143,280</w:t>
            </w:r>
          </w:p>
        </w:tc>
        <w:tc>
          <w:tcPr>
            <w:tcW w:type="dxa" w:w="1234"/>
          </w:tcPr>
          <w:p>
            <w:r>
              <w:rPr>
                <w:rFonts w:ascii="Calibri" w:hAnsi="Calibri"/>
                <w:sz w:val="22"/>
              </w:rPr>
              <w:t>195,633</w:t>
            </w:r>
          </w:p>
        </w:tc>
        <w:tc>
          <w:tcPr>
            <w:tcW w:type="dxa" w:w="1234"/>
          </w:tcPr>
          <w:p>
            <w:r>
              <w:rPr>
                <w:rFonts w:ascii="Calibri" w:hAnsi="Calibri"/>
                <w:b/>
                <w:color w:val="30A46C"/>
                <w:sz w:val="22"/>
              </w:rPr>
              <w:t>+36.5% YoY</w:t>
            </w:r>
          </w:p>
        </w:tc>
        <w:tc>
          <w:tcPr>
            <w:tcW w:type="dxa" w:w="1234"/>
          </w:tcPr>
          <w:p>
            <w:r>
              <w:rPr>
                <w:rFonts w:ascii="Calibri" w:hAnsi="Calibri"/>
                <w:sz w:val="22"/>
              </w:rPr>
              <w:t>Sequential all-time record (&gt;187,393)</w:t>
            </w:r>
          </w:p>
        </w:tc>
        <w:tc>
          <w:tcPr>
            <w:tcW w:type="dxa" w:w="1234"/>
          </w:tcPr>
          <w:p>
            <w:r>
              <w:rPr>
                <w:rFonts w:ascii="Calibri" w:hAnsi="Calibri"/>
                <w:sz w:val="22"/>
              </w:rPr>
              <w:t>Above guidance floor</w:t>
            </w:r>
          </w:p>
        </w:tc>
      </w:tr>
      <w:tr>
        <w:tc>
          <w:tcPr>
            <w:tcW w:type="dxa" w:w="1234"/>
          </w:tcPr>
          <w:p>
            <w:r>
              <w:rPr>
                <w:rFonts w:ascii="Calibri" w:hAnsi="Calibri"/>
                <w:sz w:val="22"/>
              </w:rPr>
              <w:t>Net Revenue ($M)</w:t>
            </w:r>
          </w:p>
        </w:tc>
        <w:tc>
          <w:tcPr>
            <w:tcW w:type="dxa" w:w="1234"/>
          </w:tcPr>
          <w:p>
            <w:r>
              <w:rPr>
                <w:rFonts w:ascii="Calibri" w:hAnsi="Calibri"/>
                <w:sz w:val="22"/>
              </w:rPr>
              <w:t>$6,432M</w:t>
            </w:r>
          </w:p>
        </w:tc>
        <w:tc>
          <w:tcPr>
            <w:tcW w:type="dxa" w:w="1234"/>
          </w:tcPr>
          <w:p>
            <w:r>
              <w:rPr>
                <w:rFonts w:ascii="Calibri" w:hAnsi="Calibri"/>
                <w:sz w:val="22"/>
              </w:rPr>
              <w:t>$4,840M</w:t>
            </w:r>
          </w:p>
        </w:tc>
        <w:tc>
          <w:tcPr>
            <w:tcW w:type="dxa" w:w="1234"/>
          </w:tcPr>
          <w:p>
            <w:r>
              <w:rPr>
                <w:rFonts w:ascii="Calibri" w:hAnsi="Calibri"/>
                <w:sz w:val="22"/>
              </w:rPr>
              <w:t>$6,850M</w:t>
            </w:r>
          </w:p>
        </w:tc>
        <w:tc>
          <w:tcPr>
            <w:tcW w:type="dxa" w:w="1234"/>
          </w:tcPr>
          <w:p>
            <w:r>
              <w:rPr>
                <w:rFonts w:ascii="Calibri" w:hAnsi="Calibri"/>
                <w:b/>
                <w:color w:val="30A46C"/>
                <w:sz w:val="22"/>
              </w:rPr>
              <w:t>+41.5% YoY</w:t>
            </w:r>
          </w:p>
        </w:tc>
        <w:tc>
          <w:tcPr>
            <w:tcW w:type="dxa" w:w="1234"/>
          </w:tcPr>
          <w:p>
            <w:r>
              <w:rPr>
                <w:rFonts w:ascii="Calibri" w:hAnsi="Calibri"/>
                <w:sz w:val="22"/>
              </w:rPr>
              <w:t>Not explicitly guided</w:t>
            </w:r>
          </w:p>
        </w:tc>
        <w:tc>
          <w:tcPr>
            <w:tcW w:type="dxa" w:w="1234"/>
          </w:tcPr>
          <w:p>
            <w:r>
              <w:rPr>
                <w:rFonts w:ascii="Calibri" w:hAnsi="Calibri"/>
                <w:sz w:val="22"/>
              </w:rPr>
              <w:t>N/A</w:t>
            </w:r>
          </w:p>
        </w:tc>
      </w:tr>
      <w:tr>
        <w:tc>
          <w:tcPr>
            <w:tcW w:type="dxa" w:w="1234"/>
          </w:tcPr>
          <w:p>
            <w:r>
              <w:rPr>
                <w:rFonts w:ascii="Calibri" w:hAnsi="Calibri"/>
                <w:sz w:val="22"/>
              </w:rPr>
              <w:t>Adjusted EBITDA ($M)</w:t>
            </w:r>
          </w:p>
        </w:tc>
        <w:tc>
          <w:tcPr>
            <w:tcW w:type="dxa" w:w="1234"/>
          </w:tcPr>
          <w:p>
            <w:r>
              <w:rPr>
                <w:rFonts w:ascii="Calibri" w:hAnsi="Calibri"/>
                <w:sz w:val="22"/>
              </w:rPr>
              <w:t>$672M</w:t>
            </w:r>
          </w:p>
        </w:tc>
        <w:tc>
          <w:tcPr>
            <w:tcW w:type="dxa" w:w="1234"/>
          </w:tcPr>
          <w:p>
            <w:r>
              <w:rPr>
                <w:rFonts w:ascii="Calibri" w:hAnsi="Calibri"/>
                <w:sz w:val="22"/>
              </w:rPr>
              <w:t>$601M</w:t>
            </w:r>
          </w:p>
        </w:tc>
        <w:tc>
          <w:tcPr>
            <w:tcW w:type="dxa" w:w="1234"/>
          </w:tcPr>
          <w:p>
            <w:r>
              <w:rPr>
                <w:rFonts w:ascii="Calibri" w:hAnsi="Calibri"/>
                <w:sz w:val="22"/>
              </w:rPr>
              <w:t>$761M</w:t>
            </w:r>
          </w:p>
        </w:tc>
        <w:tc>
          <w:tcPr>
            <w:tcW w:type="dxa" w:w="1234"/>
          </w:tcPr>
          <w:p>
            <w:r>
              <w:rPr>
                <w:rFonts w:ascii="Calibri" w:hAnsi="Calibri"/>
                <w:b/>
                <w:color w:val="30A46C"/>
                <w:sz w:val="22"/>
              </w:rPr>
              <w:t>+26.6% YoY</w:t>
            </w:r>
          </w:p>
        </w:tc>
        <w:tc>
          <w:tcPr>
            <w:tcW w:type="dxa" w:w="1234"/>
          </w:tcPr>
          <w:p>
            <w:r>
              <w:rPr>
                <w:rFonts w:ascii="Calibri" w:hAnsi="Calibri"/>
                <w:sz w:val="22"/>
              </w:rPr>
              <w:t>Sequential all-time record (&gt;$672M)</w:t>
            </w:r>
          </w:p>
        </w:tc>
        <w:tc>
          <w:tcPr>
            <w:tcW w:type="dxa" w:w="1234"/>
          </w:tcPr>
          <w:p>
            <w:r>
              <w:rPr>
                <w:rFonts w:ascii="Calibri" w:hAnsi="Calibri"/>
                <w:sz w:val="22"/>
              </w:rPr>
              <w:t>Above guidance floor</w:t>
            </w:r>
          </w:p>
        </w:tc>
      </w:tr>
      <w:tr>
        <w:tc>
          <w:tcPr>
            <w:tcW w:type="dxa" w:w="1234"/>
          </w:tcPr>
          <w:p>
            <w:r>
              <w:rPr>
                <w:rFonts w:ascii="Calibri" w:hAnsi="Calibri"/>
                <w:sz w:val="22"/>
              </w:rPr>
              <w:t>Adj. EBITDA per Unit ($)</w:t>
            </w:r>
          </w:p>
        </w:tc>
        <w:tc>
          <w:tcPr>
            <w:tcW w:type="dxa" w:w="1234"/>
          </w:tcPr>
          <w:p>
            <w:r>
              <w:rPr>
                <w:rFonts w:ascii="Calibri" w:hAnsi="Calibri"/>
                <w:sz w:val="22"/>
              </w:rPr>
              <w:t>$3,586</w:t>
            </w:r>
          </w:p>
        </w:tc>
        <w:tc>
          <w:tcPr>
            <w:tcW w:type="dxa" w:w="1234"/>
          </w:tcPr>
          <w:p>
            <w:r>
              <w:rPr>
                <w:rFonts w:ascii="Calibri" w:hAnsi="Calibri"/>
                <w:sz w:val="22"/>
              </w:rPr>
              <w:t>$4,195</w:t>
            </w:r>
          </w:p>
        </w:tc>
        <w:tc>
          <w:tcPr>
            <w:tcW w:type="dxa" w:w="1234"/>
          </w:tcPr>
          <w:p>
            <w:r>
              <w:rPr>
                <w:rFonts w:ascii="Calibri" w:hAnsi="Calibri"/>
                <w:sz w:val="22"/>
              </w:rPr>
              <w:t>$3,877</w:t>
            </w:r>
          </w:p>
        </w:tc>
        <w:tc>
          <w:tcPr>
            <w:tcW w:type="dxa" w:w="1234"/>
          </w:tcPr>
          <w:p>
            <w:r>
              <w:rPr>
                <w:rFonts w:ascii="Calibri" w:hAnsi="Calibri"/>
                <w:b/>
                <w:color w:val="E5484D"/>
                <w:sz w:val="22"/>
              </w:rPr>
              <w:t>-7.6% YoY</w:t>
            </w:r>
          </w:p>
        </w:tc>
        <w:tc>
          <w:tcPr>
            <w:tcW w:type="dxa" w:w="1234"/>
          </w:tcPr>
          <w:p>
            <w:r>
              <w:rPr>
                <w:rFonts w:ascii="Calibri" w:hAnsi="Calibri"/>
                <w:sz w:val="22"/>
              </w:rPr>
              <w:t>Not explicitly guided</w:t>
            </w:r>
          </w:p>
        </w:tc>
        <w:tc>
          <w:tcPr>
            <w:tcW w:type="dxa" w:w="1234"/>
          </w:tcPr>
          <w:p>
            <w:r>
              <w:rPr>
                <w:rFonts w:ascii="Calibri" w:hAnsi="Calibri"/>
                <w:sz w:val="22"/>
              </w:rPr>
              <w:t>N/A</w:t>
            </w:r>
          </w:p>
        </w:tc>
      </w:tr>
      <w:tr>
        <w:tc>
          <w:tcPr>
            <w:tcW w:type="dxa" w:w="1234"/>
          </w:tcPr>
          <w:p>
            <w:r>
              <w:rPr>
                <w:rFonts w:ascii="Calibri" w:hAnsi="Calibri"/>
                <w:sz w:val="22"/>
              </w:rPr>
              <w:t>Total GPU per Unit ($)</w:t>
            </w:r>
          </w:p>
        </w:tc>
        <w:tc>
          <w:tcPr>
            <w:tcW w:type="dxa" w:w="1234"/>
          </w:tcPr>
          <w:p>
            <w:r>
              <w:rPr>
                <w:rFonts w:ascii="Calibri" w:hAnsi="Calibri"/>
                <w:sz w:val="22"/>
              </w:rPr>
              <w:t>$6,783</w:t>
            </w:r>
          </w:p>
        </w:tc>
        <w:tc>
          <w:tcPr>
            <w:tcW w:type="dxa" w:w="1234"/>
          </w:tcPr>
          <w:p>
            <w:r>
              <w:rPr>
                <w:rFonts w:ascii="Calibri" w:hAnsi="Calibri"/>
                <w:sz w:val="22"/>
              </w:rPr>
              <w:t>$7,426</w:t>
            </w:r>
          </w:p>
        </w:tc>
        <w:tc>
          <w:tcPr>
            <w:tcW w:type="dxa" w:w="1234"/>
          </w:tcPr>
          <w:p>
            <w:r>
              <w:rPr>
                <w:rFonts w:ascii="Calibri" w:hAnsi="Calibri"/>
                <w:sz w:val="22"/>
              </w:rPr>
              <w:t>$7,030</w:t>
            </w:r>
          </w:p>
        </w:tc>
        <w:tc>
          <w:tcPr>
            <w:tcW w:type="dxa" w:w="1234"/>
          </w:tcPr>
          <w:p>
            <w:r>
              <w:rPr>
                <w:rFonts w:ascii="Calibri" w:hAnsi="Calibri"/>
                <w:b/>
                <w:color w:val="E5484D"/>
                <w:sz w:val="22"/>
              </w:rPr>
              <w:t>-5.3% YoY</w:t>
            </w:r>
          </w:p>
        </w:tc>
        <w:tc>
          <w:tcPr>
            <w:tcW w:type="dxa" w:w="1234"/>
          </w:tcPr>
          <w:p>
            <w:r>
              <w:rPr>
                <w:rFonts w:ascii="Calibri" w:hAnsi="Calibri"/>
                <w:sz w:val="22"/>
              </w:rPr>
              <w:t>Not explicitly guided (retail GPU guided down YoY, up seq.)</w:t>
            </w:r>
          </w:p>
        </w:tc>
        <w:tc>
          <w:tcPr>
            <w:tcW w:type="dxa" w:w="1234"/>
          </w:tcPr>
          <w:p>
            <w:r>
              <w:rPr>
                <w:rFonts w:ascii="Calibri" w:hAnsi="Calibri"/>
                <w:sz w:val="22"/>
              </w:rPr>
              <w:t>N/A</w:t>
            </w:r>
          </w:p>
        </w:tc>
      </w:tr>
      <w:tr>
        <w:tc>
          <w:tcPr>
            <w:tcW w:type="dxa" w:w="1234"/>
          </w:tcPr>
          <w:p>
            <w:r>
              <w:rPr>
                <w:rFonts w:ascii="Calibri" w:hAnsi="Calibri"/>
                <w:sz w:val="22"/>
              </w:rPr>
              <w:t>Retail GPU per Unit ($)</w:t>
            </w:r>
          </w:p>
        </w:tc>
        <w:tc>
          <w:tcPr>
            <w:tcW w:type="dxa" w:w="1234"/>
          </w:tcPr>
          <w:p>
            <w:r>
              <w:rPr>
                <w:rFonts w:ascii="Calibri" w:hAnsi="Calibri"/>
                <w:sz w:val="22"/>
              </w:rPr>
              <w:t>$3,164</w:t>
            </w:r>
          </w:p>
        </w:tc>
        <w:tc>
          <w:tcPr>
            <w:tcW w:type="dxa" w:w="1234"/>
          </w:tcPr>
          <w:p>
            <w:r>
              <w:rPr>
                <w:rFonts w:ascii="Calibri" w:hAnsi="Calibri"/>
                <w:sz w:val="22"/>
              </w:rPr>
              <w:t>$3,636</w:t>
            </w:r>
          </w:p>
        </w:tc>
        <w:tc>
          <w:tcPr>
            <w:tcW w:type="dxa" w:w="1234"/>
          </w:tcPr>
          <w:p>
            <w:r>
              <w:rPr>
                <w:rFonts w:ascii="Calibri" w:hAnsi="Calibri"/>
                <w:sz w:val="22"/>
              </w:rPr>
              <w:t>$3,398</w:t>
            </w:r>
          </w:p>
        </w:tc>
        <w:tc>
          <w:tcPr>
            <w:tcW w:type="dxa" w:w="1234"/>
          </w:tcPr>
          <w:p>
            <w:r>
              <w:rPr>
                <w:rFonts w:ascii="Calibri" w:hAnsi="Calibri"/>
                <w:b/>
                <w:color w:val="E5484D"/>
                <w:sz w:val="22"/>
              </w:rPr>
              <w:t>-6.5% YoY</w:t>
            </w:r>
          </w:p>
        </w:tc>
        <w:tc>
          <w:tcPr>
            <w:tcW w:type="dxa" w:w="1234"/>
          </w:tcPr>
          <w:p>
            <w:r>
              <w:rPr>
                <w:rFonts w:ascii="Calibri" w:hAnsi="Calibri"/>
                <w:sz w:val="22"/>
              </w:rPr>
              <w:t>Up seq., down YoY; ~$100–$200 spread compression + ~$100 tariff comp headwind</w:t>
            </w:r>
          </w:p>
        </w:tc>
        <w:tc>
          <w:tcPr>
            <w:tcW w:type="dxa" w:w="1234"/>
          </w:tcPr>
          <w:p>
            <w:r>
              <w:rPr>
                <w:rFonts w:ascii="Calibri" w:hAnsi="Calibri"/>
                <w:sz w:val="22"/>
              </w:rPr>
              <w:t>In line with guidance</w:t>
            </w:r>
          </w:p>
        </w:tc>
      </w:tr>
      <w:tr>
        <w:tc>
          <w:tcPr>
            <w:tcW w:type="dxa" w:w="1234"/>
          </w:tcPr>
          <w:p>
            <w:r>
              <w:rPr>
                <w:rFonts w:ascii="Calibri" w:hAnsi="Calibri"/>
                <w:sz w:val="22"/>
              </w:rPr>
              <w:t>Wholesale GPU per Unit ($)</w:t>
            </w:r>
          </w:p>
        </w:tc>
        <w:tc>
          <w:tcPr>
            <w:tcW w:type="dxa" w:w="1234"/>
          </w:tcPr>
          <w:p>
            <w:r>
              <w:rPr>
                <w:rFonts w:ascii="Calibri" w:hAnsi="Calibri"/>
                <w:sz w:val="22"/>
              </w:rPr>
              <w:t>$1,819</w:t>
            </w:r>
          </w:p>
        </w:tc>
        <w:tc>
          <w:tcPr>
            <w:tcW w:type="dxa" w:w="1234"/>
          </w:tcPr>
          <w:p>
            <w:r>
              <w:rPr>
                <w:rFonts w:ascii="Calibri" w:hAnsi="Calibri"/>
                <w:sz w:val="22"/>
              </w:rPr>
              <w:t>$1,814</w:t>
            </w:r>
          </w:p>
        </w:tc>
        <w:tc>
          <w:tcPr>
            <w:tcW w:type="dxa" w:w="1234"/>
          </w:tcPr>
          <w:p>
            <w:r>
              <w:rPr>
                <w:rFonts w:ascii="Calibri" w:hAnsi="Calibri"/>
                <w:sz w:val="22"/>
              </w:rPr>
              <w:t>$1,616</w:t>
            </w:r>
          </w:p>
        </w:tc>
        <w:tc>
          <w:tcPr>
            <w:tcW w:type="dxa" w:w="1234"/>
          </w:tcPr>
          <w:p>
            <w:r>
              <w:rPr>
                <w:rFonts w:ascii="Calibri" w:hAnsi="Calibri"/>
                <w:b/>
                <w:color w:val="E5484D"/>
                <w:sz w:val="22"/>
              </w:rPr>
              <w:t>-10.9% YoY</w:t>
            </w:r>
          </w:p>
        </w:tc>
        <w:tc>
          <w:tcPr>
            <w:tcW w:type="dxa" w:w="1234"/>
          </w:tcPr>
          <w:p>
            <w:r>
              <w:rPr>
                <w:rFonts w:ascii="Calibri" w:hAnsi="Calibri"/>
                <w:sz w:val="22"/>
              </w:rPr>
              <w:t>Not explicitly guided</w:t>
            </w:r>
          </w:p>
        </w:tc>
        <w:tc>
          <w:tcPr>
            <w:tcW w:type="dxa" w:w="1234"/>
          </w:tcPr>
          <w:p>
            <w:r>
              <w:rPr>
                <w:rFonts w:ascii="Calibri" w:hAnsi="Calibri"/>
                <w:sz w:val="22"/>
              </w:rPr>
              <w:t>N/A</w:t>
            </w:r>
          </w:p>
        </w:tc>
      </w:tr>
      <w:tr>
        <w:tc>
          <w:tcPr>
            <w:tcW w:type="dxa" w:w="1234"/>
          </w:tcPr>
          <w:p>
            <w:r>
              <w:rPr>
                <w:rFonts w:ascii="Calibri" w:hAnsi="Calibri"/>
                <w:sz w:val="22"/>
              </w:rPr>
              <w:t>Other GPU per Unit ($)</w:t>
            </w:r>
          </w:p>
        </w:tc>
        <w:tc>
          <w:tcPr>
            <w:tcW w:type="dxa" w:w="1234"/>
          </w:tcPr>
          <w:p>
            <w:r>
              <w:rPr>
                <w:rFonts w:ascii="Calibri" w:hAnsi="Calibri"/>
                <w:sz w:val="22"/>
              </w:rPr>
              <w:t>$2,807</w:t>
            </w:r>
          </w:p>
        </w:tc>
        <w:tc>
          <w:tcPr>
            <w:tcW w:type="dxa" w:w="1234"/>
          </w:tcPr>
          <w:p>
            <w:r>
              <w:rPr>
                <w:rFonts w:ascii="Calibri" w:hAnsi="Calibri"/>
                <w:sz w:val="22"/>
              </w:rPr>
              <w:t>$2,869</w:t>
            </w:r>
          </w:p>
        </w:tc>
        <w:tc>
          <w:tcPr>
            <w:tcW w:type="dxa" w:w="1234"/>
          </w:tcPr>
          <w:p>
            <w:r>
              <w:rPr>
                <w:rFonts w:ascii="Calibri" w:hAnsi="Calibri"/>
                <w:sz w:val="22"/>
              </w:rPr>
              <w:t>$2,813</w:t>
            </w:r>
          </w:p>
        </w:tc>
        <w:tc>
          <w:tcPr>
            <w:tcW w:type="dxa" w:w="1234"/>
          </w:tcPr>
          <w:p>
            <w:r>
              <w:rPr>
                <w:rFonts w:ascii="Calibri" w:hAnsi="Calibri"/>
                <w:sz w:val="22"/>
              </w:rPr>
              <w:t>-1.9% YoY</w:t>
            </w:r>
          </w:p>
        </w:tc>
        <w:tc>
          <w:tcPr>
            <w:tcW w:type="dxa" w:w="1234"/>
          </w:tcPr>
          <w:p>
            <w:r>
              <w:rPr>
                <w:rFonts w:ascii="Calibri" w:hAnsi="Calibri"/>
                <w:sz w:val="22"/>
              </w:rPr>
              <w:t>Not explicitly guided</w:t>
            </w:r>
          </w:p>
        </w:tc>
        <w:tc>
          <w:tcPr>
            <w:tcW w:type="dxa" w:w="1234"/>
          </w:tcPr>
          <w:p>
            <w:r>
              <w:rPr>
                <w:rFonts w:ascii="Calibri" w:hAnsi="Calibri"/>
                <w:sz w:val="22"/>
              </w:rPr>
              <w:t>N/A</w:t>
            </w:r>
          </w:p>
        </w:tc>
      </w:tr>
      <w:tr>
        <w:tc>
          <w:tcPr>
            <w:tcW w:type="dxa" w:w="1234"/>
          </w:tcPr>
          <w:p>
            <w:r>
              <w:rPr>
                <w:rFonts w:ascii="Calibri" w:hAnsi="Calibri"/>
                <w:sz w:val="22"/>
              </w:rPr>
              <w:t>SG&amp;A per Unit ($)</w:t>
            </w:r>
          </w:p>
        </w:tc>
        <w:tc>
          <w:tcPr>
            <w:tcW w:type="dxa" w:w="1234"/>
          </w:tcPr>
          <w:p>
            <w:r>
              <w:rPr>
                <w:rFonts w:ascii="Calibri" w:hAnsi="Calibri"/>
                <w:sz w:val="22"/>
              </w:rPr>
              <w:t>$3,682</w:t>
            </w:r>
          </w:p>
        </w:tc>
        <w:tc>
          <w:tcPr>
            <w:tcW w:type="dxa" w:w="1234"/>
          </w:tcPr>
          <w:p>
            <w:r>
              <w:rPr>
                <w:rFonts w:ascii="Calibri" w:hAnsi="Calibri"/>
                <w:sz w:val="22"/>
              </w:rPr>
              <w:t>$3,846</w:t>
            </w:r>
          </w:p>
        </w:tc>
        <w:tc>
          <w:tcPr>
            <w:tcW w:type="dxa" w:w="1234"/>
          </w:tcPr>
          <w:p>
            <w:r>
              <w:rPr>
                <w:rFonts w:ascii="Calibri" w:hAnsi="Calibri"/>
                <w:sz w:val="22"/>
              </w:rPr>
              <w:t>$3,626</w:t>
            </w:r>
          </w:p>
        </w:tc>
        <w:tc>
          <w:tcPr>
            <w:tcW w:type="dxa" w:w="1234"/>
          </w:tcPr>
          <w:p>
            <w:r>
              <w:rPr>
                <w:rFonts w:ascii="Calibri" w:hAnsi="Calibri"/>
                <w:b/>
                <w:color w:val="30A46C"/>
                <w:sz w:val="22"/>
              </w:rPr>
              <w:t>-5.7% YoY</w:t>
            </w:r>
          </w:p>
        </w:tc>
        <w:tc>
          <w:tcPr>
            <w:tcW w:type="dxa" w:w="1234"/>
          </w:tcPr>
          <w:p>
            <w:r>
              <w:rPr>
                <w:rFonts w:ascii="Calibri" w:hAnsi="Calibri"/>
                <w:sz w:val="22"/>
              </w:rPr>
              <w:t>Continued leverage expected as scale grows</w:t>
            </w:r>
          </w:p>
        </w:tc>
        <w:tc>
          <w:tcPr>
            <w:tcW w:type="dxa" w:w="1234"/>
          </w:tcPr>
          <w:p>
            <w:r>
              <w:rPr>
                <w:rFonts w:ascii="Calibri" w:hAnsi="Calibri"/>
                <w:sz w:val="22"/>
              </w:rPr>
              <w:t>In line / slight beat expected</w:t>
            </w:r>
          </w:p>
        </w:tc>
      </w:tr>
      <w:tr>
        <w:tc>
          <w:tcPr>
            <w:tcW w:type="dxa" w:w="1234"/>
          </w:tcPr>
          <w:p>
            <w:r>
              <w:rPr>
                <w:rFonts w:ascii="Calibri" w:hAnsi="Calibri"/>
                <w:sz w:val="22"/>
              </w:rPr>
              <w:t>EPS – Diluted Operating ($) *post-split*</w:t>
            </w:r>
          </w:p>
        </w:tc>
        <w:tc>
          <w:tcPr>
            <w:tcW w:type="dxa" w:w="1234"/>
          </w:tcPr>
          <w:p>
            <w:r>
              <w:rPr>
                <w:rFonts w:ascii="Calibri" w:hAnsi="Calibri"/>
                <w:sz w:val="22"/>
              </w:rPr>
              <w:t>$0.358</w:t>
            </w:r>
          </w:p>
        </w:tc>
        <w:tc>
          <w:tcPr>
            <w:tcW w:type="dxa" w:w="1234"/>
          </w:tcPr>
          <w:p>
            <w:r>
              <w:rPr>
                <w:rFonts w:ascii="Calibri" w:hAnsi="Calibri"/>
                <w:sz w:val="22"/>
              </w:rPr>
              <w:t>$0.301</w:t>
            </w:r>
          </w:p>
        </w:tc>
        <w:tc>
          <w:tcPr>
            <w:tcW w:type="dxa" w:w="1234"/>
          </w:tcPr>
          <w:p>
            <w:r>
              <w:rPr>
                <w:rFonts w:ascii="Calibri" w:hAnsi="Calibri"/>
                <w:sz w:val="22"/>
              </w:rPr>
              <w:t>$0.420</w:t>
            </w:r>
          </w:p>
        </w:tc>
        <w:tc>
          <w:tcPr>
            <w:tcW w:type="dxa" w:w="1234"/>
          </w:tcPr>
          <w:p>
            <w:r>
              <w:rPr>
                <w:rFonts w:ascii="Calibri" w:hAnsi="Calibri"/>
                <w:b/>
                <w:color w:val="30A46C"/>
                <w:sz w:val="22"/>
              </w:rPr>
              <w:t>+39.5% YoY</w:t>
            </w:r>
          </w:p>
        </w:tc>
        <w:tc>
          <w:tcPr>
            <w:tcW w:type="dxa" w:w="1234"/>
          </w:tcPr>
          <w:p>
            <w:r>
              <w:rPr>
                <w:rFonts w:ascii="Calibri" w:hAnsi="Calibri"/>
                <w:sz w:val="22"/>
              </w:rPr>
              <w:t>Not explicitly guided</w:t>
            </w:r>
          </w:p>
        </w:tc>
        <w:tc>
          <w:tcPr>
            <w:tcW w:type="dxa" w:w="1234"/>
          </w:tcPr>
          <w:p>
            <w:r>
              <w:rPr>
                <w:rFonts w:ascii="Calibri" w:hAnsi="Calibri"/>
                <w:sz w:val="22"/>
              </w:rPr>
              <w:t>N/A</w:t>
            </w:r>
          </w:p>
        </w:tc>
      </w:tr>
    </w:tbl>
    <w:p>
      <w:r>
        <w:rPr>
          <w:rFonts w:ascii="Calibri" w:hAnsi="Calibri"/>
          <w:i/>
          <w:color w:val="525866"/>
          <w:sz w:val="22"/>
        </w:rPr>
        <w:t>Source: Visible Alpha Consensus and Actuals Data. All per-share figures reflect 5-for-1 stock split effective May 8, 2026. Q2 2026 guidance per Q1 2026 earnings call (April 29, 2026).</w:t>
      </w:r>
    </w:p>
    <w:p>
      <w:pPr>
        <w:pStyle w:val="Heading3"/>
      </w:pPr>
      <w:r>
        <w:rPr>
          <w:rFonts w:ascii="Calibri" w:hAnsi="Calibri"/>
          <w:b/>
          <w:color w:val="3B4259"/>
          <w:sz w:val="24"/>
        </w:rPr>
        <w:t>Table 2 — Beat/Miss History (Last 8 Quarters, Top 2 KPIs)</w:t>
      </w:r>
    </w:p>
    <w:p>
      <w:r>
        <w:rPr>
          <w:rFonts w:ascii="Calibri" w:hAnsi="Calibri"/>
          <w:b/>
          <w:color w:val="525866"/>
          <w:sz w:val="22"/>
        </w:rPr>
        <w:t>Top 2 KPIs: Retail Units Sold and Adjusted EBITDA</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Retail Units</w:t>
            </w:r>
          </w:p>
        </w:tc>
        <w:tc>
          <w:tcPr>
            <w:tcW w:type="dxa" w:w="1440"/>
          </w:tcPr>
          <w:p>
            <w:r>
              <w:rPr>
                <w:rFonts w:ascii="Calibri" w:hAnsi="Calibri"/>
                <w:sz w:val="22"/>
              </w:rPr>
              <w:t>187,393</w:t>
            </w:r>
          </w:p>
        </w:tc>
        <w:tc>
          <w:tcPr>
            <w:tcW w:type="dxa" w:w="1440"/>
          </w:tcPr>
          <w:p>
            <w:r>
              <w:rPr>
                <w:rFonts w:ascii="Calibri" w:hAnsi="Calibri"/>
                <w:sz w:val="22"/>
              </w:rPr>
              <w:t>179,873</w:t>
            </w:r>
          </w:p>
        </w:tc>
        <w:tc>
          <w:tcPr>
            <w:tcW w:type="dxa" w:w="1440"/>
          </w:tcPr>
          <w:p>
            <w:r>
              <w:rPr>
                <w:rFonts w:ascii="Calibri" w:hAnsi="Calibri"/>
                <w:b/>
                <w:color w:val="30A46C"/>
                <w:sz w:val="22"/>
              </w:rPr>
              <w:t>+4.2%</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Adj. EBITDA ($M)</w:t>
            </w:r>
          </w:p>
        </w:tc>
        <w:tc>
          <w:tcPr>
            <w:tcW w:type="dxa" w:w="1440"/>
          </w:tcPr>
          <w:p>
            <w:r>
              <w:rPr>
                <w:rFonts w:ascii="Calibri" w:hAnsi="Calibri"/>
                <w:sz w:val="22"/>
              </w:rPr>
              <w:t>$672M</w:t>
            </w:r>
          </w:p>
        </w:tc>
        <w:tc>
          <w:tcPr>
            <w:tcW w:type="dxa" w:w="1440"/>
          </w:tcPr>
          <w:p>
            <w:r>
              <w:rPr>
                <w:rFonts w:ascii="Calibri" w:hAnsi="Calibri"/>
                <w:sz w:val="22"/>
              </w:rPr>
              <w:t>$646M</w:t>
            </w:r>
          </w:p>
        </w:tc>
        <w:tc>
          <w:tcPr>
            <w:tcW w:type="dxa" w:w="1440"/>
          </w:tcPr>
          <w:p>
            <w:r>
              <w:rPr>
                <w:rFonts w:ascii="Calibri" w:hAnsi="Calibri"/>
                <w:b/>
                <w:color w:val="30A46C"/>
                <w:sz w:val="22"/>
              </w:rPr>
              <w:t>+4.1%</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Retail Units</w:t>
            </w:r>
          </w:p>
        </w:tc>
        <w:tc>
          <w:tcPr>
            <w:tcW w:type="dxa" w:w="1440"/>
          </w:tcPr>
          <w:p>
            <w:r>
              <w:rPr>
                <w:rFonts w:ascii="Calibri" w:hAnsi="Calibri"/>
                <w:sz w:val="22"/>
              </w:rPr>
              <w:t>163,522</w:t>
            </w:r>
          </w:p>
        </w:tc>
        <w:tc>
          <w:tcPr>
            <w:tcW w:type="dxa" w:w="1440"/>
          </w:tcPr>
          <w:p>
            <w:r>
              <w:rPr>
                <w:rFonts w:ascii="Calibri" w:hAnsi="Calibri"/>
                <w:sz w:val="22"/>
              </w:rPr>
              <w:t>156,979</w:t>
            </w:r>
          </w:p>
        </w:tc>
        <w:tc>
          <w:tcPr>
            <w:tcW w:type="dxa" w:w="1440"/>
          </w:tcPr>
          <w:p>
            <w:r>
              <w:rPr>
                <w:rFonts w:ascii="Calibri" w:hAnsi="Calibri"/>
                <w:b/>
                <w:color w:val="30A46C"/>
                <w:sz w:val="22"/>
              </w:rPr>
              <w:t>+4.2%</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Adj. EBITDA ($M)</w:t>
            </w:r>
          </w:p>
        </w:tc>
        <w:tc>
          <w:tcPr>
            <w:tcW w:type="dxa" w:w="1440"/>
          </w:tcPr>
          <w:p>
            <w:r>
              <w:rPr>
                <w:rFonts w:ascii="Calibri" w:hAnsi="Calibri"/>
                <w:sz w:val="22"/>
              </w:rPr>
              <w:t>$511M</w:t>
            </w:r>
          </w:p>
        </w:tc>
        <w:tc>
          <w:tcPr>
            <w:tcW w:type="dxa" w:w="1440"/>
          </w:tcPr>
          <w:p>
            <w:r>
              <w:rPr>
                <w:rFonts w:ascii="Calibri" w:hAnsi="Calibri"/>
                <w:sz w:val="22"/>
              </w:rPr>
              <w:t>$538M</w:t>
            </w:r>
          </w:p>
        </w:tc>
        <w:tc>
          <w:tcPr>
            <w:tcW w:type="dxa" w:w="1440"/>
          </w:tcPr>
          <w:p>
            <w:r>
              <w:rPr>
                <w:rFonts w:ascii="Calibri" w:hAnsi="Calibri"/>
                <w:b/>
                <w:color w:val="E5484D"/>
                <w:sz w:val="22"/>
              </w:rPr>
              <w:t>-5.0%</w:t>
            </w:r>
          </w:p>
        </w:tc>
        <w:tc>
          <w:tcPr>
            <w:tcW w:type="dxa" w:w="1440"/>
          </w:tcPr>
          <w:p>
            <w:r>
              <w:rPr>
                <w:rFonts w:ascii="Calibri" w:hAnsi="Calibri"/>
                <w:sz w:val="22"/>
              </w:rPr>
              <w:t>MISS</w:t>
            </w:r>
          </w:p>
        </w:tc>
      </w:tr>
      <w:tr>
        <w:tc>
          <w:tcPr>
            <w:tcW w:type="dxa" w:w="1440"/>
          </w:tcPr>
          <w:p>
            <w:r>
              <w:rPr>
                <w:rFonts w:ascii="Calibri" w:hAnsi="Calibri"/>
                <w:sz w:val="22"/>
              </w:rPr>
              <w:t>Q3 2025</w:t>
            </w:r>
          </w:p>
        </w:tc>
        <w:tc>
          <w:tcPr>
            <w:tcW w:type="dxa" w:w="1440"/>
          </w:tcPr>
          <w:p>
            <w:r>
              <w:rPr>
                <w:rFonts w:ascii="Calibri" w:hAnsi="Calibri"/>
                <w:sz w:val="22"/>
              </w:rPr>
              <w:t>Retail Units</w:t>
            </w:r>
          </w:p>
        </w:tc>
        <w:tc>
          <w:tcPr>
            <w:tcW w:type="dxa" w:w="1440"/>
          </w:tcPr>
          <w:p>
            <w:r>
              <w:rPr>
                <w:rFonts w:ascii="Calibri" w:hAnsi="Calibri"/>
                <w:sz w:val="22"/>
              </w:rPr>
              <w:t>155,941</w:t>
            </w:r>
          </w:p>
        </w:tc>
        <w:tc>
          <w:tcPr>
            <w:tcW w:type="dxa" w:w="1440"/>
          </w:tcPr>
          <w:p>
            <w:r>
              <w:rPr>
                <w:rFonts w:ascii="Calibri" w:hAnsi="Calibri"/>
                <w:sz w:val="22"/>
              </w:rPr>
              <w:t>150,901</w:t>
            </w:r>
          </w:p>
        </w:tc>
        <w:tc>
          <w:tcPr>
            <w:tcW w:type="dxa" w:w="1440"/>
          </w:tcPr>
          <w:p>
            <w:r>
              <w:rPr>
                <w:rFonts w:ascii="Calibri" w:hAnsi="Calibri"/>
                <w:b/>
                <w:color w:val="30A46C"/>
                <w:sz w:val="22"/>
              </w:rPr>
              <w:t>+3.3%</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Adj. EBITDA ($M)</w:t>
            </w:r>
          </w:p>
        </w:tc>
        <w:tc>
          <w:tcPr>
            <w:tcW w:type="dxa" w:w="1440"/>
          </w:tcPr>
          <w:p>
            <w:r>
              <w:rPr>
                <w:rFonts w:ascii="Calibri" w:hAnsi="Calibri"/>
                <w:sz w:val="22"/>
              </w:rPr>
              <w:t>$637M</w:t>
            </w:r>
          </w:p>
        </w:tc>
        <w:tc>
          <w:tcPr>
            <w:tcW w:type="dxa" w:w="1440"/>
          </w:tcPr>
          <w:p>
            <w:r>
              <w:rPr>
                <w:rFonts w:ascii="Calibri" w:hAnsi="Calibri"/>
                <w:sz w:val="22"/>
              </w:rPr>
              <w:t>$602M</w:t>
            </w:r>
          </w:p>
        </w:tc>
        <w:tc>
          <w:tcPr>
            <w:tcW w:type="dxa" w:w="1440"/>
          </w:tcPr>
          <w:p>
            <w:r>
              <w:rPr>
                <w:rFonts w:ascii="Calibri" w:hAnsi="Calibri"/>
                <w:b/>
                <w:color w:val="30A46C"/>
                <w:sz w:val="22"/>
              </w:rPr>
              <w:t>+5.8%</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Retail Units</w:t>
            </w:r>
          </w:p>
        </w:tc>
        <w:tc>
          <w:tcPr>
            <w:tcW w:type="dxa" w:w="1440"/>
          </w:tcPr>
          <w:p>
            <w:r>
              <w:rPr>
                <w:rFonts w:ascii="Calibri" w:hAnsi="Calibri"/>
                <w:sz w:val="22"/>
              </w:rPr>
              <w:t>143,280</w:t>
            </w:r>
          </w:p>
        </w:tc>
        <w:tc>
          <w:tcPr>
            <w:tcW w:type="dxa" w:w="1440"/>
          </w:tcPr>
          <w:p>
            <w:r>
              <w:rPr>
                <w:rFonts w:ascii="Calibri" w:hAnsi="Calibri"/>
                <w:sz w:val="22"/>
              </w:rPr>
              <w:t>142,229</w:t>
            </w:r>
          </w:p>
        </w:tc>
        <w:tc>
          <w:tcPr>
            <w:tcW w:type="dxa" w:w="1440"/>
          </w:tcPr>
          <w:p>
            <w:r>
              <w:rPr>
                <w:rFonts w:ascii="Calibri" w:hAnsi="Calibri"/>
                <w:b/>
                <w:color w:val="30A46C"/>
                <w:sz w:val="22"/>
              </w:rPr>
              <w:t>+0.7%</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Adj. EBITDA ($M)</w:t>
            </w:r>
          </w:p>
        </w:tc>
        <w:tc>
          <w:tcPr>
            <w:tcW w:type="dxa" w:w="1440"/>
          </w:tcPr>
          <w:p>
            <w:r>
              <w:rPr>
                <w:rFonts w:ascii="Calibri" w:hAnsi="Calibri"/>
                <w:sz w:val="22"/>
              </w:rPr>
              <w:t>$601M</w:t>
            </w:r>
          </w:p>
        </w:tc>
        <w:tc>
          <w:tcPr>
            <w:tcW w:type="dxa" w:w="1440"/>
          </w:tcPr>
          <w:p>
            <w:r>
              <w:rPr>
                <w:rFonts w:ascii="Calibri" w:hAnsi="Calibri"/>
                <w:sz w:val="22"/>
              </w:rPr>
              <w:t>$557M</w:t>
            </w:r>
          </w:p>
        </w:tc>
        <w:tc>
          <w:tcPr>
            <w:tcW w:type="dxa" w:w="1440"/>
          </w:tcPr>
          <w:p>
            <w:r>
              <w:rPr>
                <w:rFonts w:ascii="Calibri" w:hAnsi="Calibri"/>
                <w:b/>
                <w:color w:val="30A46C"/>
                <w:sz w:val="22"/>
              </w:rPr>
              <w:t>+7.9%</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Retail Units</w:t>
            </w:r>
          </w:p>
        </w:tc>
        <w:tc>
          <w:tcPr>
            <w:tcW w:type="dxa" w:w="1440"/>
          </w:tcPr>
          <w:p>
            <w:r>
              <w:rPr>
                <w:rFonts w:ascii="Calibri" w:hAnsi="Calibri"/>
                <w:sz w:val="22"/>
              </w:rPr>
              <w:t>133,898</w:t>
            </w:r>
          </w:p>
        </w:tc>
        <w:tc>
          <w:tcPr>
            <w:tcW w:type="dxa" w:w="1440"/>
          </w:tcPr>
          <w:p>
            <w:r>
              <w:rPr>
                <w:rFonts w:ascii="Calibri" w:hAnsi="Calibri"/>
                <w:sz w:val="22"/>
              </w:rPr>
              <w:t>126,922</w:t>
            </w:r>
          </w:p>
        </w:tc>
        <w:tc>
          <w:tcPr>
            <w:tcW w:type="dxa" w:w="1440"/>
          </w:tcPr>
          <w:p>
            <w:r>
              <w:rPr>
                <w:rFonts w:ascii="Calibri" w:hAnsi="Calibri"/>
                <w:b/>
                <w:color w:val="30A46C"/>
                <w:sz w:val="22"/>
              </w:rPr>
              <w:t>+5.5%</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Adj. EBITDA ($M)</w:t>
            </w:r>
          </w:p>
        </w:tc>
        <w:tc>
          <w:tcPr>
            <w:tcW w:type="dxa" w:w="1440"/>
          </w:tcPr>
          <w:p>
            <w:r>
              <w:rPr>
                <w:rFonts w:ascii="Calibri" w:hAnsi="Calibri"/>
                <w:sz w:val="22"/>
              </w:rPr>
              <w:t>$488M</w:t>
            </w:r>
          </w:p>
        </w:tc>
        <w:tc>
          <w:tcPr>
            <w:tcW w:type="dxa" w:w="1440"/>
          </w:tcPr>
          <w:p>
            <w:r>
              <w:rPr>
                <w:rFonts w:ascii="Calibri" w:hAnsi="Calibri"/>
                <w:sz w:val="22"/>
              </w:rPr>
              <w:t>$435M</w:t>
            </w:r>
          </w:p>
        </w:tc>
        <w:tc>
          <w:tcPr>
            <w:tcW w:type="dxa" w:w="1440"/>
          </w:tcPr>
          <w:p>
            <w:r>
              <w:rPr>
                <w:rFonts w:ascii="Calibri" w:hAnsi="Calibri"/>
                <w:b/>
                <w:color w:val="30A46C"/>
                <w:sz w:val="22"/>
              </w:rPr>
              <w:t>+12.2%</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Retail Units</w:t>
            </w:r>
          </w:p>
        </w:tc>
        <w:tc>
          <w:tcPr>
            <w:tcW w:type="dxa" w:w="1440"/>
          </w:tcPr>
          <w:p>
            <w:r>
              <w:rPr>
                <w:rFonts w:ascii="Calibri" w:hAnsi="Calibri"/>
                <w:sz w:val="22"/>
              </w:rPr>
              <w:t>114,379</w:t>
            </w:r>
          </w:p>
        </w:tc>
        <w:tc>
          <w:tcPr>
            <w:tcW w:type="dxa" w:w="1440"/>
          </w:tcPr>
          <w:p>
            <w:r>
              <w:rPr>
                <w:rFonts w:ascii="Calibri" w:hAnsi="Calibri"/>
                <w:sz w:val="22"/>
              </w:rPr>
              <w:t>108,628</w:t>
            </w:r>
          </w:p>
        </w:tc>
        <w:tc>
          <w:tcPr>
            <w:tcW w:type="dxa" w:w="1440"/>
          </w:tcPr>
          <w:p>
            <w:r>
              <w:rPr>
                <w:rFonts w:ascii="Calibri" w:hAnsi="Calibri"/>
                <w:b/>
                <w:color w:val="30A46C"/>
                <w:sz w:val="22"/>
              </w:rPr>
              <w:t>+5.3%</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Adj. EBITDA ($M)</w:t>
            </w:r>
          </w:p>
        </w:tc>
        <w:tc>
          <w:tcPr>
            <w:tcW w:type="dxa" w:w="1440"/>
          </w:tcPr>
          <w:p>
            <w:r>
              <w:rPr>
                <w:rFonts w:ascii="Calibri" w:hAnsi="Calibri"/>
                <w:sz w:val="22"/>
              </w:rPr>
              <w:t>$359M</w:t>
            </w:r>
          </w:p>
        </w:tc>
        <w:tc>
          <w:tcPr>
            <w:tcW w:type="dxa" w:w="1440"/>
          </w:tcPr>
          <w:p>
            <w:r>
              <w:rPr>
                <w:rFonts w:ascii="Calibri" w:hAnsi="Calibri"/>
                <w:sz w:val="22"/>
              </w:rPr>
              <w:t>$332M</w:t>
            </w:r>
          </w:p>
        </w:tc>
        <w:tc>
          <w:tcPr>
            <w:tcW w:type="dxa" w:w="1440"/>
          </w:tcPr>
          <w:p>
            <w:r>
              <w:rPr>
                <w:rFonts w:ascii="Calibri" w:hAnsi="Calibri"/>
                <w:b/>
                <w:color w:val="30A46C"/>
                <w:sz w:val="22"/>
              </w:rPr>
              <w:t>+8.1%</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Retail Units</w:t>
            </w:r>
          </w:p>
        </w:tc>
        <w:tc>
          <w:tcPr>
            <w:tcW w:type="dxa" w:w="1440"/>
          </w:tcPr>
          <w:p>
            <w:r>
              <w:rPr>
                <w:rFonts w:ascii="Calibri" w:hAnsi="Calibri"/>
                <w:sz w:val="22"/>
              </w:rPr>
              <w:t>108,651</w:t>
            </w:r>
          </w:p>
        </w:tc>
        <w:tc>
          <w:tcPr>
            <w:tcW w:type="dxa" w:w="1440"/>
          </w:tcPr>
          <w:p>
            <w:r>
              <w:rPr>
                <w:rFonts w:ascii="Calibri" w:hAnsi="Calibri"/>
                <w:sz w:val="22"/>
              </w:rPr>
              <w:t>106,919</w:t>
            </w:r>
          </w:p>
        </w:tc>
        <w:tc>
          <w:tcPr>
            <w:tcW w:type="dxa" w:w="1440"/>
          </w:tcPr>
          <w:p>
            <w:r>
              <w:rPr>
                <w:rFonts w:ascii="Calibri" w:hAnsi="Calibri"/>
                <w:b/>
                <w:color w:val="30A46C"/>
                <w:sz w:val="22"/>
              </w:rPr>
              <w:t>+1.6%</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Adj. EBITDA ($M)</w:t>
            </w:r>
          </w:p>
        </w:tc>
        <w:tc>
          <w:tcPr>
            <w:tcW w:type="dxa" w:w="1440"/>
          </w:tcPr>
          <w:p>
            <w:r>
              <w:rPr>
                <w:rFonts w:ascii="Calibri" w:hAnsi="Calibri"/>
                <w:sz w:val="22"/>
              </w:rPr>
              <w:t>$429M</w:t>
            </w:r>
          </w:p>
        </w:tc>
        <w:tc>
          <w:tcPr>
            <w:tcW w:type="dxa" w:w="1440"/>
          </w:tcPr>
          <w:p>
            <w:r>
              <w:rPr>
                <w:rFonts w:ascii="Calibri" w:hAnsi="Calibri"/>
                <w:sz w:val="22"/>
              </w:rPr>
              <w:t>$328M</w:t>
            </w:r>
          </w:p>
        </w:tc>
        <w:tc>
          <w:tcPr>
            <w:tcW w:type="dxa" w:w="1440"/>
          </w:tcPr>
          <w:p>
            <w:r>
              <w:rPr>
                <w:rFonts w:ascii="Calibri" w:hAnsi="Calibri"/>
                <w:b/>
                <w:color w:val="30A46C"/>
                <w:sz w:val="22"/>
              </w:rPr>
              <w:t>+30.7%</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Retail Units</w:t>
            </w:r>
          </w:p>
        </w:tc>
        <w:tc>
          <w:tcPr>
            <w:tcW w:type="dxa" w:w="1440"/>
          </w:tcPr>
          <w:p>
            <w:r>
              <w:rPr>
                <w:rFonts w:ascii="Calibri" w:hAnsi="Calibri"/>
                <w:sz w:val="22"/>
              </w:rPr>
              <w:t>101,440</w:t>
            </w:r>
          </w:p>
        </w:tc>
        <w:tc>
          <w:tcPr>
            <w:tcW w:type="dxa" w:w="1440"/>
          </w:tcPr>
          <w:p>
            <w:r>
              <w:rPr>
                <w:rFonts w:ascii="Calibri" w:hAnsi="Calibri"/>
                <w:sz w:val="22"/>
              </w:rPr>
              <w:t>94,714</w:t>
            </w:r>
          </w:p>
        </w:tc>
        <w:tc>
          <w:tcPr>
            <w:tcW w:type="dxa" w:w="1440"/>
          </w:tcPr>
          <w:p>
            <w:r>
              <w:rPr>
                <w:rFonts w:ascii="Calibri" w:hAnsi="Calibri"/>
                <w:b/>
                <w:color w:val="30A46C"/>
                <w:sz w:val="22"/>
              </w:rPr>
              <w:t>+7.1%</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Adj. EBITDA ($M)</w:t>
            </w:r>
          </w:p>
        </w:tc>
        <w:tc>
          <w:tcPr>
            <w:tcW w:type="dxa" w:w="1440"/>
          </w:tcPr>
          <w:p>
            <w:r>
              <w:rPr>
                <w:rFonts w:ascii="Calibri" w:hAnsi="Calibri"/>
                <w:sz w:val="22"/>
              </w:rPr>
              <w:t>$355M</w:t>
            </w:r>
          </w:p>
        </w:tc>
        <w:tc>
          <w:tcPr>
            <w:tcW w:type="dxa" w:w="1440"/>
          </w:tcPr>
          <w:p>
            <w:r>
              <w:rPr>
                <w:rFonts w:ascii="Calibri" w:hAnsi="Calibri"/>
                <w:sz w:val="22"/>
              </w:rPr>
              <w:t>$252M</w:t>
            </w:r>
          </w:p>
        </w:tc>
        <w:tc>
          <w:tcPr>
            <w:tcW w:type="dxa" w:w="1440"/>
          </w:tcPr>
          <w:p>
            <w:r>
              <w:rPr>
                <w:rFonts w:ascii="Calibri" w:hAnsi="Calibri"/>
                <w:b/>
                <w:color w:val="30A46C"/>
                <w:sz w:val="22"/>
              </w:rPr>
              <w:t>+40.9%</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CVNA has beaten retail unit consensus in all 8 of the last 8 quarters, and beaten Adjusted EBITDA consensus in 7 of the last 8 quarters (the lone miss was Q4 2025, driven by reconditioning cost pressures that management subsequently resolved). The consistent beat cadence on units suggests consensus tends to be conservative on volume, while EBITDA beats have been driven by operating leverage exceeding expectations.</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is unchanged since the Q1 2026 earnings call — no post-earnings 8-K or conference updates have revised the numbers. Management's tone remains highly confident, though they proactively flagged two specific Q2 headwinds (tariff comp and wholesale-to-retail spread compression) that are now the primary focus for the print.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Retail Units Sold</w:t>
            </w:r>
          </w:p>
        </w:tc>
        <w:tc>
          <w:tcPr>
            <w:tcW w:type="dxa" w:w="1728"/>
          </w:tcPr>
          <w:p>
            <w:r>
              <w:rPr>
                <w:rFonts w:ascii="Calibri" w:hAnsi="Calibri"/>
                <w:sz w:val="22"/>
              </w:rPr>
              <w:t>Sequential all-time record (&gt;187,393)</w:t>
            </w:r>
          </w:p>
        </w:tc>
        <w:tc>
          <w:tcPr>
            <w:tcW w:type="dxa" w:w="1728"/>
          </w:tcPr>
          <w:p>
            <w:r>
              <w:rPr>
                <w:rFonts w:ascii="Calibri" w:hAnsi="Calibri"/>
                <w:sz w:val="22"/>
              </w:rPr>
              <w:t>—</w:t>
            </w:r>
          </w:p>
        </w:tc>
        <w:tc>
          <w:tcPr>
            <w:tcW w:type="dxa" w:w="1728"/>
          </w:tcPr>
          <w:p>
            <w:r>
              <w:rPr>
                <w:rFonts w:ascii="Calibri" w:hAnsi="Calibri"/>
                <w:sz w:val="22"/>
              </w:rPr>
              <w:t>195,633</w:t>
            </w:r>
          </w:p>
        </w:tc>
        <w:tc>
          <w:tcPr>
            <w:tcW w:type="dxa" w:w="1728"/>
          </w:tcPr>
          <w:p>
            <w:r>
              <w:rPr>
                <w:rFonts w:ascii="Calibri" w:hAnsi="Calibri"/>
                <w:sz w:val="22"/>
              </w:rPr>
              <w:t>No post-earnings revision; consensus tracking above guidance floor</w:t>
            </w:r>
          </w:p>
        </w:tc>
      </w:tr>
      <w:tr>
        <w:tc>
          <w:tcPr>
            <w:tcW w:type="dxa" w:w="1728"/>
          </w:tcPr>
          <w:p>
            <w:r>
              <w:rPr>
                <w:rFonts w:ascii="Calibri" w:hAnsi="Calibri"/>
                <w:sz w:val="22"/>
              </w:rPr>
              <w:t>Q2 2026 Adjusted EBITDA</w:t>
            </w:r>
          </w:p>
        </w:tc>
        <w:tc>
          <w:tcPr>
            <w:tcW w:type="dxa" w:w="1728"/>
          </w:tcPr>
          <w:p>
            <w:r>
              <w:rPr>
                <w:rFonts w:ascii="Calibri" w:hAnsi="Calibri"/>
                <w:sz w:val="22"/>
              </w:rPr>
              <w:t>Sequential all-time record (&gt;$672M)</w:t>
            </w:r>
          </w:p>
        </w:tc>
        <w:tc>
          <w:tcPr>
            <w:tcW w:type="dxa" w:w="1728"/>
          </w:tcPr>
          <w:p>
            <w:r>
              <w:rPr>
                <w:rFonts w:ascii="Calibri" w:hAnsi="Calibri"/>
                <w:sz w:val="22"/>
              </w:rPr>
              <w:t>—</w:t>
            </w:r>
          </w:p>
        </w:tc>
        <w:tc>
          <w:tcPr>
            <w:tcW w:type="dxa" w:w="1728"/>
          </w:tcPr>
          <w:p>
            <w:r>
              <w:rPr>
                <w:rFonts w:ascii="Calibri" w:hAnsi="Calibri"/>
                <w:sz w:val="22"/>
              </w:rPr>
              <w:t>$761M</w:t>
            </w:r>
          </w:p>
        </w:tc>
        <w:tc>
          <w:tcPr>
            <w:tcW w:type="dxa" w:w="1728"/>
          </w:tcPr>
          <w:p>
            <w:r>
              <w:rPr>
                <w:rFonts w:ascii="Calibri" w:hAnsi="Calibri"/>
                <w:sz w:val="22"/>
              </w:rPr>
              <w:t>No post-earnings revision; consensus tracking above guidance floor</w:t>
            </w:r>
          </w:p>
        </w:tc>
      </w:tr>
      <w:tr>
        <w:tc>
          <w:tcPr>
            <w:tcW w:type="dxa" w:w="1728"/>
          </w:tcPr>
          <w:p>
            <w:r>
              <w:rPr>
                <w:rFonts w:ascii="Calibri" w:hAnsi="Calibri"/>
                <w:sz w:val="22"/>
              </w:rPr>
              <w:t>Q2 2026 Retail GPU</w:t>
            </w:r>
          </w:p>
        </w:tc>
        <w:tc>
          <w:tcPr>
            <w:tcW w:type="dxa" w:w="1728"/>
          </w:tcPr>
          <w:p>
            <w:r>
              <w:rPr>
                <w:rFonts w:ascii="Calibri" w:hAnsi="Calibri"/>
                <w:sz w:val="22"/>
              </w:rPr>
              <w:t>Up sequentially, down YoY; ~$100–$200 headwind from wholesale-to-retail spread compression; ~$100 tariff comp headwind</w:t>
            </w:r>
          </w:p>
        </w:tc>
        <w:tc>
          <w:tcPr>
            <w:tcW w:type="dxa" w:w="1728"/>
          </w:tcPr>
          <w:p>
            <w:r>
              <w:rPr>
                <w:rFonts w:ascii="Calibri" w:hAnsi="Calibri"/>
                <w:sz w:val="22"/>
              </w:rPr>
              <w:t>—</w:t>
            </w:r>
          </w:p>
        </w:tc>
        <w:tc>
          <w:tcPr>
            <w:tcW w:type="dxa" w:w="1728"/>
          </w:tcPr>
          <w:p>
            <w:r>
              <w:rPr>
                <w:rFonts w:ascii="Calibri" w:hAnsi="Calibri"/>
                <w:sz w:val="22"/>
              </w:rPr>
              <w:t>$3,398/unit</w:t>
            </w:r>
          </w:p>
        </w:tc>
        <w:tc>
          <w:tcPr>
            <w:tcW w:type="dxa" w:w="1728"/>
          </w:tcPr>
          <w:p>
            <w:r>
              <w:rPr>
                <w:rFonts w:ascii="Calibri" w:hAnsi="Calibri"/>
                <w:sz w:val="22"/>
              </w:rPr>
              <w:t>Consensus implies ~$238/unit YoY decline; within guided range; key swing factor for the print</w:t>
            </w:r>
          </w:p>
        </w:tc>
      </w:tr>
      <w:tr>
        <w:tc>
          <w:tcPr>
            <w:tcW w:type="dxa" w:w="1728"/>
          </w:tcPr>
          <w:p>
            <w:r>
              <w:rPr>
                <w:rFonts w:ascii="Calibri" w:hAnsi="Calibri"/>
                <w:sz w:val="22"/>
              </w:rPr>
              <w:t>FY 2026 Retail Units &amp; Adj. EBITDA</w:t>
            </w:r>
          </w:p>
        </w:tc>
        <w:tc>
          <w:tcPr>
            <w:tcW w:type="dxa" w:w="1728"/>
          </w:tcPr>
          <w:p>
            <w:r>
              <w:rPr>
                <w:rFonts w:ascii="Calibri" w:hAnsi="Calibri"/>
                <w:sz w:val="22"/>
              </w:rPr>
              <w:t>"Significant growth" in both retail units and Adjusted EBITDA vs. FY 2025</w:t>
            </w:r>
          </w:p>
        </w:tc>
        <w:tc>
          <w:tcPr>
            <w:tcW w:type="dxa" w:w="1728"/>
          </w:tcPr>
          <w:p>
            <w:r>
              <w:rPr>
                <w:rFonts w:ascii="Calibri" w:hAnsi="Calibri"/>
                <w:sz w:val="22"/>
              </w:rPr>
              <w:t>—</w:t>
            </w:r>
          </w:p>
        </w:tc>
        <w:tc>
          <w:tcPr>
            <w:tcW w:type="dxa" w:w="1728"/>
          </w:tcPr>
          <w:p>
            <w:r>
              <w:rPr>
                <w:rFonts w:ascii="Calibri" w:hAnsi="Calibri"/>
                <w:sz w:val="22"/>
              </w:rPr>
              <w:t>N/A (FY not in VA pull)</w:t>
            </w:r>
          </w:p>
        </w:tc>
        <w:tc>
          <w:tcPr>
            <w:tcW w:type="dxa" w:w="1728"/>
          </w:tcPr>
          <w:p>
            <w:r>
              <w:rPr>
                <w:rFonts w:ascii="Calibri" w:hAnsi="Calibri"/>
                <w:sz w:val="22"/>
              </w:rPr>
              <w:t>No revision; management reaffirmed long-term 3M unit / 13.5% EBITDA margin target for 2030–2035</w:t>
            </w:r>
          </w:p>
        </w:tc>
      </w:tr>
      <w:tr>
        <w:tc>
          <w:tcPr>
            <w:tcW w:type="dxa" w:w="1728"/>
          </w:tcPr>
          <w:p>
            <w:r>
              <w:rPr>
                <w:rFonts w:ascii="Calibri" w:hAnsi="Calibri"/>
                <w:sz w:val="22"/>
              </w:rPr>
              <w:t>Reconditioning / Operations</w:t>
            </w:r>
          </w:p>
        </w:tc>
        <w:tc>
          <w:tcPr>
            <w:tcW w:type="dxa" w:w="1728"/>
          </w:tcPr>
          <w:p>
            <w:r>
              <w:rPr>
                <w:rFonts w:ascii="Calibri" w:hAnsi="Calibri"/>
                <w:sz w:val="22"/>
              </w:rPr>
              <w:t>Q4 issues largely resolved; April labor efficiency near all-time best; new centralized planning tools rolling out</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Positive tone; management framed new tools as source of ongoing fundamental gains, not just a fix</w:t>
            </w:r>
          </w:p>
        </w:tc>
      </w:tr>
    </w:tbl>
    <w:p>
      <w:r>
        <w:rPr>
          <w:rFonts w:ascii="Calibri" w:hAnsi="Calibri"/>
          <w:i/>
          <w:color w:val="525866"/>
          <w:sz w:val="22"/>
        </w:rPr>
        <w:t>Source: Q1 2026 Earnings Call Transcript (April 29, 2026). No post-earnings guidance revisions filed via 8-K or disclosed at conferences.</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Q2 2026 are essentially flat since the Q1 print — retail unit consensus moved only +220 units and EBITDA moved -$3M — indicating the street has anchored tightly to management's guidance with no incremental cushion or risk built in. </w:t>
      </w:r>
      <w:r>
        <w:rPr>
          <w:rFonts w:ascii="Calibri" w:hAnsi="Calibri"/>
          <w:b/>
          <w:color w:val="525866"/>
          <w:sz w:val="22"/>
        </w:rPr>
        <w:t>The gap between consensus and guidance is narrow, meaning execution risk is symmetric.</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Q1 Earnings (May 5,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Retail Units — Q2 2026</w:t>
            </w:r>
          </w:p>
        </w:tc>
        <w:tc>
          <w:tcPr>
            <w:tcW w:type="dxa" w:w="1080"/>
          </w:tcPr>
          <w:p>
            <w:r>
              <w:rPr>
                <w:rFonts w:ascii="Calibri" w:hAnsi="Calibri"/>
                <w:sz w:val="22"/>
              </w:rPr>
              <w:t>195,413</w:t>
            </w:r>
          </w:p>
        </w:tc>
        <w:tc>
          <w:tcPr>
            <w:tcW w:type="dxa" w:w="1080"/>
          </w:tcPr>
          <w:p>
            <w:r>
              <w:rPr>
                <w:rFonts w:ascii="Calibri" w:hAnsi="Calibri"/>
                <w:sz w:val="22"/>
              </w:rPr>
              <w:t>195,633</w:t>
            </w:r>
          </w:p>
        </w:tc>
        <w:tc>
          <w:tcPr>
            <w:tcW w:type="dxa" w:w="1080"/>
          </w:tcPr>
          <w:p>
            <w:r>
              <w:rPr>
                <w:rFonts w:ascii="Calibri" w:hAnsi="Calibri"/>
                <w:sz w:val="22"/>
              </w:rPr>
              <w:t>+0.1%</w:t>
            </w:r>
          </w:p>
        </w:tc>
        <w:tc>
          <w:tcPr>
            <w:tcW w:type="dxa" w:w="1080"/>
          </w:tcPr>
          <w:p>
            <w:r>
              <w:rPr>
                <w:rFonts w:ascii="Calibri" w:hAnsi="Calibri"/>
                <w:sz w:val="22"/>
              </w:rPr>
              <w:t>Sequential all-time record (&gt;187,393)</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Above guidance floor by ~4.4%</w:t>
            </w:r>
          </w:p>
        </w:tc>
      </w:tr>
      <w:tr>
        <w:tc>
          <w:tcPr>
            <w:tcW w:type="dxa" w:w="1080"/>
          </w:tcPr>
          <w:p>
            <w:r>
              <w:rPr>
                <w:rFonts w:ascii="Calibri" w:hAnsi="Calibri"/>
                <w:sz w:val="22"/>
              </w:rPr>
              <w:t>Adj. EBITDA — Q2 2026 ($M)</w:t>
            </w:r>
          </w:p>
        </w:tc>
        <w:tc>
          <w:tcPr>
            <w:tcW w:type="dxa" w:w="1080"/>
          </w:tcPr>
          <w:p>
            <w:r>
              <w:rPr>
                <w:rFonts w:ascii="Calibri" w:hAnsi="Calibri"/>
                <w:sz w:val="22"/>
              </w:rPr>
              <w:t>$763.8M</w:t>
            </w:r>
          </w:p>
        </w:tc>
        <w:tc>
          <w:tcPr>
            <w:tcW w:type="dxa" w:w="1080"/>
          </w:tcPr>
          <w:p>
            <w:r>
              <w:rPr>
                <w:rFonts w:ascii="Calibri" w:hAnsi="Calibri"/>
                <w:sz w:val="22"/>
              </w:rPr>
              <w:t>$760.9M</w:t>
            </w:r>
          </w:p>
        </w:tc>
        <w:tc>
          <w:tcPr>
            <w:tcW w:type="dxa" w:w="1080"/>
          </w:tcPr>
          <w:p>
            <w:r>
              <w:rPr>
                <w:rFonts w:ascii="Calibri" w:hAnsi="Calibri"/>
                <w:sz w:val="22"/>
              </w:rPr>
              <w:t>-0.4%</w:t>
            </w:r>
          </w:p>
        </w:tc>
        <w:tc>
          <w:tcPr>
            <w:tcW w:type="dxa" w:w="1080"/>
          </w:tcPr>
          <w:p>
            <w:r>
              <w:rPr>
                <w:rFonts w:ascii="Calibri" w:hAnsi="Calibri"/>
                <w:sz w:val="22"/>
              </w:rPr>
              <w:t>Sequential all-time record (&gt;$672M)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Above guidance floor by ~13.2%</w:t>
            </w:r>
          </w:p>
        </w:tc>
      </w:tr>
      <w:tr>
        <w:tc>
          <w:tcPr>
            <w:tcW w:type="dxa" w:w="1080"/>
          </w:tcPr>
          <w:p>
            <w:r>
              <w:rPr>
                <w:rFonts w:ascii="Calibri" w:hAnsi="Calibri"/>
                <w:sz w:val="22"/>
              </w:rPr>
              <w:t>Retail GPU/Unit — Q2 2026 ($)</w:t>
            </w:r>
          </w:p>
        </w:tc>
        <w:tc>
          <w:tcPr>
            <w:tcW w:type="dxa" w:w="1080"/>
          </w:tcPr>
          <w:p>
            <w:r>
              <w:rPr>
                <w:rFonts w:ascii="Calibri" w:hAnsi="Calibri"/>
                <w:sz w:val="22"/>
              </w:rPr>
              <w:t>$3,384</w:t>
            </w:r>
          </w:p>
        </w:tc>
        <w:tc>
          <w:tcPr>
            <w:tcW w:type="dxa" w:w="1080"/>
          </w:tcPr>
          <w:p>
            <w:r>
              <w:rPr>
                <w:rFonts w:ascii="Calibri" w:hAnsi="Calibri"/>
                <w:sz w:val="22"/>
              </w:rPr>
              <w:t>$3,398</w:t>
            </w:r>
          </w:p>
        </w:tc>
        <w:tc>
          <w:tcPr>
            <w:tcW w:type="dxa" w:w="1080"/>
          </w:tcPr>
          <w:p>
            <w:r>
              <w:rPr>
                <w:rFonts w:ascii="Calibri" w:hAnsi="Calibri"/>
                <w:sz w:val="22"/>
              </w:rPr>
              <w:t>+0.4%</w:t>
            </w:r>
          </w:p>
        </w:tc>
        <w:tc>
          <w:tcPr>
            <w:tcW w:type="dxa" w:w="1080"/>
          </w:tcPr>
          <w:p>
            <w:r>
              <w:rPr>
                <w:rFonts w:ascii="Calibri" w:hAnsi="Calibri"/>
                <w:sz w:val="22"/>
              </w:rPr>
              <w:t>Up seq., down YoY; $100–$200 spread compression + $100 tariff comp headwind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Implies ~$238 YoY decline; within guided range</w:t>
            </w:r>
          </w:p>
        </w:tc>
      </w:tr>
      <w:tr>
        <w:tc>
          <w:tcPr>
            <w:tcW w:type="dxa" w:w="1080"/>
          </w:tcPr>
          <w:p>
            <w:r>
              <w:rPr>
                <w:rFonts w:ascii="Calibri" w:hAnsi="Calibri"/>
                <w:sz w:val="22"/>
              </w:rPr>
              <w:t>Total GPU/Unit — Q2 2026 ($)</w:t>
            </w:r>
          </w:p>
        </w:tc>
        <w:tc>
          <w:tcPr>
            <w:tcW w:type="dxa" w:w="1080"/>
          </w:tcPr>
          <w:p>
            <w:r>
              <w:rPr>
                <w:rFonts w:ascii="Calibri" w:hAnsi="Calibri"/>
                <w:sz w:val="22"/>
              </w:rPr>
              <w:t>$7,046</w:t>
            </w:r>
          </w:p>
        </w:tc>
        <w:tc>
          <w:tcPr>
            <w:tcW w:type="dxa" w:w="1080"/>
          </w:tcPr>
          <w:p>
            <w:r>
              <w:rPr>
                <w:rFonts w:ascii="Calibri" w:hAnsi="Calibri"/>
                <w:sz w:val="22"/>
              </w:rPr>
              <w:t>$7,030</w:t>
            </w:r>
          </w:p>
        </w:tc>
        <w:tc>
          <w:tcPr>
            <w:tcW w:type="dxa" w:w="1080"/>
          </w:tcPr>
          <w:p>
            <w:r>
              <w:rPr>
                <w:rFonts w:ascii="Calibri" w:hAnsi="Calibri"/>
                <w:sz w:val="22"/>
              </w:rPr>
              <w:t>-0.2%</w:t>
            </w:r>
          </w:p>
        </w:tc>
        <w:tc>
          <w:tcPr>
            <w:tcW w:type="dxa" w:w="1080"/>
          </w:tcPr>
          <w:p>
            <w:r>
              <w:rPr>
                <w:rFonts w:ascii="Calibri" w:hAnsi="Calibri"/>
                <w:sz w:val="22"/>
              </w:rPr>
              <w:t>Not explicitly guided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Net Revenue — Q2 2026 ($M)</w:t>
            </w:r>
          </w:p>
        </w:tc>
        <w:tc>
          <w:tcPr>
            <w:tcW w:type="dxa" w:w="1080"/>
          </w:tcPr>
          <w:p>
            <w:r>
              <w:rPr>
                <w:rFonts w:ascii="Calibri" w:hAnsi="Calibri"/>
                <w:sz w:val="22"/>
              </w:rPr>
              <w:t>$6,806M</w:t>
            </w:r>
          </w:p>
        </w:tc>
        <w:tc>
          <w:tcPr>
            <w:tcW w:type="dxa" w:w="1080"/>
          </w:tcPr>
          <w:p>
            <w:r>
              <w:rPr>
                <w:rFonts w:ascii="Calibri" w:hAnsi="Calibri"/>
                <w:sz w:val="22"/>
              </w:rPr>
              <w:t>$6,850M</w:t>
            </w:r>
          </w:p>
        </w:tc>
        <w:tc>
          <w:tcPr>
            <w:tcW w:type="dxa" w:w="1080"/>
          </w:tcPr>
          <w:p>
            <w:r>
              <w:rPr>
                <w:rFonts w:ascii="Calibri" w:hAnsi="Calibri"/>
                <w:sz w:val="22"/>
              </w:rPr>
              <w:t>+0.6%</w:t>
            </w:r>
          </w:p>
        </w:tc>
        <w:tc>
          <w:tcPr>
            <w:tcW w:type="dxa" w:w="1080"/>
          </w:tcPr>
          <w:p>
            <w:r>
              <w:rPr>
                <w:rFonts w:ascii="Calibri" w:hAnsi="Calibri"/>
                <w:sz w:val="22"/>
              </w:rPr>
              <w:t>Not explicitly guided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EPS (Diluted Operating) — Q2 2026 ($) *post-split*</w:t>
            </w:r>
          </w:p>
        </w:tc>
        <w:tc>
          <w:tcPr>
            <w:tcW w:type="dxa" w:w="1080"/>
          </w:tcPr>
          <w:p>
            <w:r>
              <w:rPr>
                <w:rFonts w:ascii="Calibri" w:hAnsi="Calibri"/>
                <w:sz w:val="22"/>
              </w:rPr>
              <w:t>$0.425</w:t>
            </w:r>
          </w:p>
        </w:tc>
        <w:tc>
          <w:tcPr>
            <w:tcW w:type="dxa" w:w="1080"/>
          </w:tcPr>
          <w:p>
            <w:r>
              <w:rPr>
                <w:rFonts w:ascii="Calibri" w:hAnsi="Calibri"/>
                <w:sz w:val="22"/>
              </w:rPr>
              <w:t>$0.420</w:t>
            </w:r>
          </w:p>
        </w:tc>
        <w:tc>
          <w:tcPr>
            <w:tcW w:type="dxa" w:w="1080"/>
          </w:tcPr>
          <w:p>
            <w:r>
              <w:rPr>
                <w:rFonts w:ascii="Calibri" w:hAnsi="Calibri"/>
                <w:sz w:val="22"/>
              </w:rPr>
              <w:t>-1.2%</w:t>
            </w:r>
          </w:p>
        </w:tc>
        <w:tc>
          <w:tcPr>
            <w:tcW w:type="dxa" w:w="1080"/>
          </w:tcPr>
          <w:p>
            <w:r>
              <w:rPr>
                <w:rFonts w:ascii="Calibri" w:hAnsi="Calibri"/>
                <w:sz w:val="22"/>
              </w:rPr>
              <w:t>Not explicitly guided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Estimates are essentially unchanged since the Q1 print, confirming the street has anchored to management's guidance language rather than building in incremental upside or downside. The EBITDA consensus of ~$761M sits ~13% above the guidance floor (&gt;$672M), implying the market expects meaningful sequential improvement beyond the minimum bar — this creates asymmetric risk if GPU compression lands at the high end of the $100–$200/unit range.</w:t>
      </w:r>
    </w:p>
    <w:p>
      <w:r>
        <w:rPr>
          <w:rFonts w:ascii="Calibri" w:hAnsi="Calibri"/>
          <w:i/>
          <w:color w:val="525866"/>
          <w:sz w:val="22"/>
        </w:rPr>
        <w:t>Source: Visible Alpha Consensus and Actuals Data. Baseline as of May 5, 2026 (~5 trading days post Q1 earnings on April 29,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CVNA has significantly underperformed both KMX (+54%) and the S&amp;P 500 (+4%) since Q1 earnings, declining ~17% from the April 29 close. </w:t>
      </w:r>
      <w:r>
        <w:rPr>
          <w:rFonts w:ascii="Calibri" w:hAnsi="Calibri"/>
          <w:b/>
          <w:color w:val="525866"/>
          <w:sz w:val="22"/>
        </w:rPr>
        <w:t>The de-rating appears driven by GPU compression concerns and the broader market's rotation away from high-multiple growth names</w:t>
      </w:r>
      <w:r>
        <w:rPr>
          <w:rFonts w:ascii="Calibri" w:hAnsi="Calibri"/>
          <w:color w:val="525866"/>
          <w:sz w:val="22"/>
        </w:rPr>
        <w:t>, not unit growth skepticism — which sets up a potential re-rating if Q2 GPU lands at the better end of guidance.</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CVNA vs. KMX vs. S&amp;P 500 (SPY) — Indexed to 100 at April 29, 2026 (Q1 2026 Earnings Date). Source: Yahoo Finance / Stock Price Data.</w:t>
      </w:r>
    </w:p>
    <w:p>
      <w:r>
        <w:rPr>
          <w:rFonts w:ascii="Calibri" w:hAnsi="Calibri"/>
          <w:b/>
          <w:color w:val="525866"/>
          <w:sz w:val="22"/>
        </w:rPr>
        <w:t xml:space="preserve">Sector ETF Note: </w:t>
      </w:r>
      <w:r>
        <w:rPr>
          <w:rFonts w:ascii="Calibri" w:hAnsi="Calibri"/>
          <w:color w:val="525866"/>
          <w:sz w:val="22"/>
        </w:rPr>
        <w:t>KMX (CarMax) is used as the primary peer benchmark given it is the most directly comparable large-cap used vehicle retailer. SPY (S&amp;P 500 ETF) is used as the broad market benchmark.</w:t>
      </w:r>
    </w:p>
    <w:p>
      <w:r>
        <w:rPr>
          <w:rFonts w:ascii="Calibri" w:hAnsi="Calibri"/>
          <w:color w:val="525866"/>
          <w:sz w:val="22"/>
        </w:rPr>
        <w:t>Key observations from the chart:</w:t>
      </w:r>
    </w:p>
    <w:p>
      <w:pPr>
        <w:pStyle w:val="ListBullet"/>
        <w:ind w:left="360" w:hanging="360"/>
      </w:pPr>
      <w:r>
        <w:rPr>
          <w:rFonts w:ascii="Calibri" w:hAnsi="Calibri"/>
          <w:color w:val="525866"/>
          <w:sz w:val="22"/>
        </w:rPr>
        <w:t>CVNA peaked at ~101 (indexed) on May 7, 2026, just days after the Q1 earnings beat, before selling off sharply through mid-May as GPU compression concerns weighed on sentiment.</w:t>
      </w:r>
    </w:p>
    <w:p>
      <w:pPr>
        <w:pStyle w:val="ListBullet"/>
        <w:ind w:left="360" w:hanging="360"/>
      </w:pPr>
      <w:r>
        <w:rPr>
          <w:rFonts w:ascii="Calibri" w:hAnsi="Calibri"/>
          <w:color w:val="525866"/>
          <w:sz w:val="22"/>
        </w:rPr>
        <w:t>The stock troughed near ~76 (indexed) in late July 2026, representing a ~24% drawdown from the post-earnings peak.</w:t>
      </w:r>
    </w:p>
    <w:p>
      <w:pPr>
        <w:pStyle w:val="ListBullet"/>
        <w:ind w:left="360" w:hanging="360"/>
      </w:pPr>
      <w:r>
        <w:rPr>
          <w:rFonts w:ascii="Calibri" w:hAnsi="Calibri"/>
          <w:color w:val="525866"/>
          <w:sz w:val="22"/>
        </w:rPr>
        <w:t>KMX surged sharply in mid-June following its Q1 FY2027 earnings (June 17), which showed GPU came in better than the $300/unit guidance — a positive read-through for CVNA's spread compression narrative.</w:t>
      </w:r>
    </w:p>
    <w:p>
      <w:pPr>
        <w:pStyle w:val="ListBullet"/>
        <w:ind w:left="360" w:hanging="360"/>
      </w:pPr>
      <w:r>
        <w:rPr>
          <w:rFonts w:ascii="Calibri" w:hAnsi="Calibri"/>
          <w:color w:val="525866"/>
          <w:sz w:val="22"/>
        </w:rPr>
        <w:t>SPY has been broadly flat (+4%) over the period, suggesting CVNA's underperformance is stock-specific rather than macro-driven.</w:t>
      </w:r>
    </w:p>
    <w:p>
      <w:pPr>
        <w:pStyle w:val="ListBullet"/>
        <w:ind w:left="360" w:hanging="360"/>
      </w:pPr>
      <w:r>
        <w:rPr>
          <w:rFonts w:ascii="Calibri" w:hAnsi="Calibri"/>
          <w:color w:val="525866"/>
          <w:sz w:val="22"/>
        </w:rPr>
        <w:t>CVNA recovered modestly to ~83 (indexed) by July 29 (earnings day), suggesting some positioning ahead of the print.</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5-for-1 stock split (May 2026) and the Slate Auto warrant disclosure (June 2026), which together signal Carvana's strategic pivot toward new car sales — a potential long-term growth driver but near-term distraction from the core used car story. Peer read-throughs from KMX and ABG are constructive for GPU.</w:t>
      </w:r>
    </w:p>
    <w:p>
      <w:pPr>
        <w:pStyle w:val="Heading3"/>
      </w:pPr>
      <w:r>
        <w:rPr>
          <w:rFonts w:ascii="Calibri" w:hAnsi="Calibri"/>
          <w:b/>
          <w:color w:val="3B4259"/>
          <w:sz w:val="24"/>
        </w:rPr>
        <w:t>Company Announcements</w:t>
      </w:r>
    </w:p>
    <w:p>
      <w:pPr>
        <w:pStyle w:val="ListBullet"/>
        <w:ind w:left="360" w:hanging="360"/>
      </w:pPr>
      <w:r>
        <w:rPr>
          <w:rFonts w:ascii="Calibri" w:hAnsi="Calibri"/>
          <w:b/>
          <w:color w:val="525866"/>
          <w:sz w:val="22"/>
        </w:rPr>
        <w:t>May 6, 2026 — 5-for-1 Stock Split Approved:</w:t>
      </w:r>
      <w:r>
        <w:rPr>
          <w:rFonts w:ascii="Calibri" w:hAnsi="Calibri"/>
          <w:color w:val="525866"/>
          <w:sz w:val="22"/>
        </w:rPr>
        <w:t xml:space="preserve"> Carvana shareholders approved a 5-for-1 stock split, effective May 8, 2026. All per-share figures in this document reflect the post-split basis. </w:t>
      </w:r>
    </w:p>
    <w:p>
      <w:pPr>
        <w:pStyle w:val="ListBullet"/>
        <w:ind w:left="360" w:hanging="360"/>
      </w:pPr>
      <w:r>
        <w:rPr>
          <w:rFonts w:ascii="Calibri" w:hAnsi="Calibri"/>
          <w:b/>
          <w:color w:val="525866"/>
          <w:sz w:val="22"/>
        </w:rPr>
        <w:t>June 3, 2026 — Slate Auto Warrant Disclosed (TechCrunch):</w:t>
      </w:r>
      <w:r>
        <w:rPr>
          <w:rFonts w:ascii="Calibri" w:hAnsi="Calibri"/>
          <w:color w:val="525866"/>
          <w:sz w:val="22"/>
        </w:rPr>
        <w:t xml:space="preserve"> Carvana was granted an option (warrant) to invest in Slate Auto, a Bezos-backed EV startup, with the warrant valued at $1.5M at end of 2025 and vesting through 2029 based on jointly determined performance goals. This aligns with Carvana's broader strategy to expand into new car sales (management has acquired seven Stellantis CDJR franchised dealerships and told analysts to "stay tuned" on new car strategy). </w:t>
      </w:r>
    </w:p>
    <w:p>
      <w:pPr>
        <w:pStyle w:val="ListBullet"/>
        <w:ind w:left="360" w:hanging="360"/>
      </w:pPr>
      <w:r>
        <w:rPr>
          <w:rFonts w:ascii="Calibri" w:hAnsi="Calibri"/>
          <w:b/>
          <w:color w:val="525866"/>
          <w:sz w:val="22"/>
        </w:rPr>
        <w:t>July 1, 2026 — Earnings Date Confirmed:</w:t>
      </w:r>
      <w:r>
        <w:rPr>
          <w:rFonts w:ascii="Calibri" w:hAnsi="Calibri"/>
          <w:color w:val="525866"/>
          <w:sz w:val="22"/>
        </w:rPr>
        <w:t xml:space="preserve"> Carvana confirmed Q2 2026 results will be reported on July 29, 2026 via press release.</w:t>
      </w:r>
    </w:p>
    <w:p>
      <w:pPr>
        <w:pStyle w:val="Heading3"/>
      </w:pPr>
      <w:r>
        <w:rPr>
          <w:rFonts w:ascii="Calibri" w:hAnsi="Calibri"/>
          <w:b/>
          <w:color w:val="3B4259"/>
          <w:sz w:val="24"/>
        </w:rPr>
        <w:t>Peer Read-Throughs (Current Quarter Commentary Only)</w:t>
      </w:r>
    </w:p>
    <w:p>
      <w:r>
        <w:rPr>
          <w:rFonts w:ascii="Calibri" w:hAnsi="Calibri"/>
          <w:color w:val="525866"/>
          <w:sz w:val="22"/>
        </w:rPr>
        <w:t>The following peer commentary is sourced exclusively from earnings calls and reports covering the current reporting quarter (Q2 2026 / calendar April–June 2026) or forward-looking commentary made after CVNA's Q1 2026 earnings on April 29, 2026.</w:t>
      </w:r>
    </w:p>
    <w:p>
      <w:pPr>
        <w:pStyle w:val="Heading4"/>
      </w:pPr>
      <w:r>
        <w:rPr>
          <w:rFonts w:ascii="Calibri" w:hAnsi="Calibri"/>
          <w:b/>
          <w:color w:val="3B4259"/>
          <w:sz w:val="22"/>
        </w:rPr>
        <w:t>CarMax (KMX) — Q1 FY2027 Earnings (June 17, 2026) — MOST RELEVANT</w:t>
      </w:r>
    </w:p>
    <w:p>
      <w:pPr>
        <w:pStyle w:val="ListBullet"/>
        <w:ind w:left="360" w:hanging="360"/>
      </w:pPr>
      <w:r>
        <w:rPr>
          <w:rFonts w:ascii="Calibri" w:hAnsi="Calibri"/>
          <w:b/>
          <w:color w:val="525866"/>
          <w:sz w:val="22"/>
        </w:rPr>
        <w:t>GPU came in better than guidance:</w:t>
      </w:r>
      <w:r>
        <w:rPr>
          <w:rFonts w:ascii="Calibri" w:hAnsi="Calibri"/>
          <w:color w:val="525866"/>
          <w:sz w:val="22"/>
        </w:rPr>
        <w:t xml:space="preserve"> KMX lowered GPU by less than the $300/unit guidance provided last quarter, with used retail GPU of $2,177/unit (down $230 YoY). Management stated "we came in better than the guidance we gave you at the end of the fourth quarter." This is a </w:t>
      </w:r>
      <w:r>
        <w:rPr>
          <w:rFonts w:ascii="Calibri" w:hAnsi="Calibri"/>
          <w:b/>
          <w:color w:val="525866"/>
          <w:sz w:val="22"/>
        </w:rPr>
        <w:t>positive read-through for CVNA</w:t>
      </w:r>
      <w:r>
        <w:rPr>
          <w:rFonts w:ascii="Calibri" w:hAnsi="Calibri"/>
          <w:color w:val="525866"/>
          <w:sz w:val="22"/>
        </w:rPr>
        <w:t xml:space="preserve"> — if the industry-wide spread compression is resolving faster than feared, CVNA's retail GPU could land at the better end of its $100–$200/unit guided headwind.</w:t>
      </w:r>
    </w:p>
    <w:p>
      <w:pPr>
        <w:pStyle w:val="ListBullet"/>
        <w:ind w:left="360" w:hanging="360"/>
      </w:pPr>
      <w:r>
        <w:rPr>
          <w:rFonts w:ascii="Calibri" w:hAnsi="Calibri"/>
          <w:b/>
          <w:color w:val="525866"/>
          <w:sz w:val="22"/>
        </w:rPr>
        <w:t>Demand was strong for younger/core vehicles:</w:t>
      </w:r>
      <w:r>
        <w:rPr>
          <w:rFonts w:ascii="Calibri" w:hAnsi="Calibri"/>
          <w:color w:val="525866"/>
          <w:sz w:val="22"/>
        </w:rPr>
        <w:t xml:space="preserve"> KMX noted "demand was strong around kind of younger cars, kind of our core offering" and that sales performance was supported by more competitive vehicle pricing and increased marketing investment. KMX expects this momentum to continue throughout the year and to "outperform the broader market." Constructive for CVNA's unit volume.</w:t>
      </w:r>
    </w:p>
    <w:p>
      <w:pPr>
        <w:pStyle w:val="ListBullet"/>
        <w:ind w:left="360" w:hanging="360"/>
      </w:pPr>
      <w:r>
        <w:rPr>
          <w:rFonts w:ascii="Calibri" w:hAnsi="Calibri"/>
          <w:b/>
          <w:color w:val="525866"/>
          <w:sz w:val="22"/>
        </w:rPr>
        <w:t>Tariff comp headwind confirmed:</w:t>
      </w:r>
      <w:r>
        <w:rPr>
          <w:rFonts w:ascii="Calibri" w:hAnsi="Calibri"/>
          <w:color w:val="525866"/>
          <w:sz w:val="22"/>
        </w:rPr>
        <w:t xml:space="preserve"> KMX noted it was "comping over our strongest and tariff supported prior year period retail comp of 8.1%." This validates CVNA's flagged ~$100 tariff-related benefit in the prior year that will not recur in Q2 2026.</w:t>
      </w:r>
    </w:p>
    <w:p>
      <w:pPr>
        <w:pStyle w:val="ListBullet"/>
        <w:ind w:left="360" w:hanging="360"/>
      </w:pPr>
      <w:r>
        <w:rPr>
          <w:rFonts w:ascii="Calibri" w:hAnsi="Calibri"/>
          <w:b/>
          <w:color w:val="525866"/>
          <w:sz w:val="22"/>
        </w:rPr>
        <w:t>Consumer pressure acknowledged but manageable:</w:t>
      </w:r>
      <w:r>
        <w:rPr>
          <w:rFonts w:ascii="Calibri" w:hAnsi="Calibri"/>
          <w:color w:val="525866"/>
          <w:sz w:val="22"/>
        </w:rPr>
        <w:t xml:space="preserve"> KMX noted "the consumer overall, I think you can see in the industry, certainly they are continuing to be pressured by overall inflation" and that delinquency rates are higher. However, CAF management feels they have "an excellent handle on the health of the consumer on their books."</w:t>
      </w:r>
    </w:p>
    <w:p>
      <w:pPr>
        <w:pStyle w:val="ListBullet"/>
        <w:ind w:left="360" w:hanging="360"/>
      </w:pPr>
      <w:r>
        <w:rPr>
          <w:rFonts w:ascii="Calibri" w:hAnsi="Calibri"/>
          <w:b/>
          <w:color w:val="525866"/>
          <w:sz w:val="22"/>
        </w:rPr>
        <w:t>Dynamic GPU management going forward:</w:t>
      </w:r>
      <w:r>
        <w:rPr>
          <w:rFonts w:ascii="Calibri" w:hAnsi="Calibri"/>
          <w:color w:val="525866"/>
          <w:sz w:val="22"/>
        </w:rPr>
        <w:t xml:space="preserve"> KMX is shifting to a more dynamic pricing approach, flexing GPU to maximize sales and profitability rather than targeting a fixed GPU. This suggests the industry is moving toward a more competitive pricing environment, which could pressure CVNA's GPU but also support unit volumes.</w:t>
      </w:r>
    </w:p>
    <w:p>
      <w:pPr>
        <w:pStyle w:val="Heading4"/>
      </w:pPr>
      <w:r>
        <w:rPr>
          <w:rFonts w:ascii="Calibri" w:hAnsi="Calibri"/>
          <w:b/>
          <w:color w:val="3B4259"/>
          <w:sz w:val="22"/>
        </w:rPr>
        <w:t>Asbury Automotive (ABG) — Q2 2026 Earnings (July 28, 2026)</w:t>
      </w:r>
    </w:p>
    <w:p>
      <w:pPr>
        <w:pStyle w:val="ListBullet"/>
        <w:ind w:left="360" w:hanging="360"/>
      </w:pPr>
      <w:r>
        <w:rPr>
          <w:rFonts w:ascii="Calibri" w:hAnsi="Calibri"/>
          <w:b/>
          <w:color w:val="525866"/>
          <w:sz w:val="22"/>
        </w:rPr>
        <w:t>Used PVR up 5% sequentially:</w:t>
      </w:r>
      <w:r>
        <w:rPr>
          <w:rFonts w:ascii="Calibri" w:hAnsi="Calibri"/>
          <w:color w:val="525866"/>
          <w:sz w:val="22"/>
        </w:rPr>
        <w:t xml:space="preserve"> ABG reported used vehicle PVR of $1,927 in Q2 2026, a sequential increase of 5% on effectively the same store volume as Q1. This is a </w:t>
      </w:r>
      <w:r>
        <w:rPr>
          <w:rFonts w:ascii="Calibri" w:hAnsi="Calibri"/>
          <w:b/>
          <w:color w:val="525866"/>
          <w:sz w:val="22"/>
        </w:rPr>
        <w:t>positive read-through for CVNA's retail GPU</w:t>
      </w:r>
      <w:r>
        <w:rPr>
          <w:rFonts w:ascii="Calibri" w:hAnsi="Calibri"/>
          <w:color w:val="525866"/>
          <w:sz w:val="22"/>
        </w:rPr>
        <w:t xml:space="preserve"> — sequential improvement in used vehicle profitability across the industry suggests the wholesale-to-retail spread compression may be resolving.</w:t>
      </w:r>
    </w:p>
    <w:p>
      <w:pPr>
        <w:pStyle w:val="ListBullet"/>
        <w:ind w:left="360" w:hanging="360"/>
      </w:pPr>
      <w:r>
        <w:rPr>
          <w:rFonts w:ascii="Calibri" w:hAnsi="Calibri"/>
          <w:b/>
          <w:color w:val="525866"/>
          <w:sz w:val="22"/>
        </w:rPr>
        <w:t>No margin pressure from used car competitors:</w:t>
      </w:r>
      <w:r>
        <w:rPr>
          <w:rFonts w:ascii="Calibri" w:hAnsi="Calibri"/>
          <w:color w:val="525866"/>
          <w:sz w:val="22"/>
        </w:rPr>
        <w:t xml:space="preserve"> ABG management stated "overall no, I have not seen any margin pressure from the other used car competitors." This is constructive for CVNA's competitive positioning.</w:t>
      </w:r>
    </w:p>
    <w:p>
      <w:pPr>
        <w:pStyle w:val="ListBullet"/>
        <w:ind w:left="360" w:hanging="360"/>
      </w:pPr>
      <w:r>
        <w:rPr>
          <w:rFonts w:ascii="Calibri" w:hAnsi="Calibri"/>
          <w:b/>
          <w:color w:val="525866"/>
          <w:sz w:val="22"/>
        </w:rPr>
        <w:t>Consumer affordability concerns noted:</w:t>
      </w:r>
      <w:r>
        <w:rPr>
          <w:rFonts w:ascii="Calibri" w:hAnsi="Calibri"/>
          <w:color w:val="525866"/>
          <w:sz w:val="22"/>
        </w:rPr>
        <w:t xml:space="preserve"> ABG noted "we are seeing consumers, you know, just downshift a bit given affordability concerns" but that this pressure is "not that it is being impactful in our service drives." Negative equity has not shown an uptick outside of norms.</w:t>
      </w:r>
    </w:p>
    <w:p>
      <w:pPr>
        <w:pStyle w:val="ListBullet"/>
        <w:ind w:left="360" w:hanging="360"/>
      </w:pPr>
      <w:r>
        <w:rPr>
          <w:rFonts w:ascii="Calibri" w:hAnsi="Calibri"/>
          <w:b/>
          <w:color w:val="525866"/>
          <w:sz w:val="22"/>
        </w:rPr>
        <w:t>Used vehicle strategy shifting to volume:</w:t>
      </w:r>
      <w:r>
        <w:rPr>
          <w:rFonts w:ascii="Calibri" w:hAnsi="Calibri"/>
          <w:color w:val="525866"/>
          <w:sz w:val="22"/>
        </w:rPr>
        <w:t xml:space="preserve"> ABG began shifting its used vehicle strategy in May toward "driving higher used vehicle volume while still maintaining healthy PVRs," expecting increased used vehicle volume as they move into Q4 2026. This suggests the broader used car market is becoming more competitive on volume, which could benefit CVNA's unit growth narrative.</w:t>
      </w:r>
    </w:p>
    <w:p>
      <w:pPr>
        <w:pStyle w:val="Heading4"/>
      </w:pPr>
      <w:r>
        <w:rPr>
          <w:rFonts w:ascii="Calibri" w:hAnsi="Calibri"/>
          <w:b/>
          <w:color w:val="3B4259"/>
          <w:sz w:val="22"/>
        </w:rPr>
        <w:t>AutoNation (AN) — Q1 2026 Earnings (May 1, 2026) — Forward Commentary on Q2</w:t>
      </w:r>
    </w:p>
    <w:p>
      <w:pPr>
        <w:pStyle w:val="ListBullet"/>
        <w:ind w:left="360" w:hanging="360"/>
      </w:pPr>
      <w:r>
        <w:rPr>
          <w:rFonts w:ascii="Calibri" w:hAnsi="Calibri"/>
          <w:b/>
          <w:color w:val="525866"/>
          <w:sz w:val="22"/>
        </w:rPr>
        <w:t>Affordability headwinds expected to continue into Q2:</w:t>
      </w:r>
      <w:r>
        <w:rPr>
          <w:rFonts w:ascii="Calibri" w:hAnsi="Calibri"/>
          <w:color w:val="525866"/>
          <w:sz w:val="22"/>
        </w:rPr>
        <w:t xml:space="preserve"> AN CEO Mike Manley stated "the impact that we're seeing in the short term in terms of their household income and the dynamics there... will impact our industry and give us some headwind. We've seen that in Q1. It will continue, in my view, into Q2." This is a mild negative read-through for CVNA's unit volume, though CVNA's online model and value proposition may insulate it from traditional dealer headwinds.</w:t>
      </w:r>
    </w:p>
    <w:p>
      <w:pPr>
        <w:pStyle w:val="ListBullet"/>
        <w:ind w:left="360" w:hanging="360"/>
      </w:pPr>
      <w:r>
        <w:rPr>
          <w:rFonts w:ascii="Calibri" w:hAnsi="Calibri"/>
          <w:b/>
          <w:color w:val="525866"/>
          <w:sz w:val="22"/>
        </w:rPr>
        <w:t>Used vehicle profitability improving:</w:t>
      </w:r>
      <w:r>
        <w:rPr>
          <w:rFonts w:ascii="Calibri" w:hAnsi="Calibri"/>
          <w:color w:val="525866"/>
          <w:sz w:val="22"/>
        </w:rPr>
        <w:t xml:space="preserve"> AN's used vehicle unit profitability increased by more than $150 sequentially to just under $1,600/unit in Q1 2026, with management targeting $2,000/unit. The sequential improvement in used GPU across traditional dealers is a positive read-through for CVNA.</w:t>
      </w:r>
    </w:p>
    <w:p>
      <w:pPr>
        <w:pStyle w:val="ListBullet"/>
        <w:ind w:left="360" w:hanging="360"/>
      </w:pPr>
      <w:r>
        <w:rPr>
          <w:rFonts w:ascii="Calibri" w:hAnsi="Calibri"/>
          <w:b/>
          <w:color w:val="525866"/>
          <w:sz w:val="22"/>
        </w:rPr>
        <w:t>Industry SAAR below 5% forecast:</w:t>
      </w:r>
      <w:r>
        <w:rPr>
          <w:rFonts w:ascii="Calibri" w:hAnsi="Calibri"/>
          <w:color w:val="525866"/>
          <w:sz w:val="22"/>
        </w:rPr>
        <w:t xml:space="preserve"> AN expects the industry to perform "below that 5% forecast that we originally had coming in" until affordability headwinds dissipate. However, CVNA's market share gains have historically been independent of industry SAAR trends.</w:t>
      </w:r>
    </w:p>
    <w:p>
      <w:pPr>
        <w:pStyle w:val="Heading4"/>
      </w:pPr>
      <w:r>
        <w:rPr>
          <w:rFonts w:ascii="Calibri" w:hAnsi="Calibri"/>
          <w:b/>
          <w:color w:val="3B4259"/>
          <w:sz w:val="22"/>
        </w:rPr>
        <w:t>Lithia Motors (LAD) — Q1 2026 Earnings (April 29, 2026) — Forward Commentary on Q2</w:t>
      </w:r>
    </w:p>
    <w:p>
      <w:pPr>
        <w:pStyle w:val="ListBullet"/>
        <w:ind w:left="360" w:hanging="360"/>
      </w:pPr>
      <w:r>
        <w:rPr>
          <w:rFonts w:ascii="Calibri" w:hAnsi="Calibri"/>
          <w:b/>
          <w:color w:val="525866"/>
          <w:sz w:val="22"/>
        </w:rPr>
        <w:t>Positive start to Q2:</w:t>
      </w:r>
      <w:r>
        <w:rPr>
          <w:rFonts w:ascii="Calibri" w:hAnsi="Calibri"/>
          <w:color w:val="525866"/>
          <w:sz w:val="22"/>
        </w:rPr>
        <w:t xml:space="preserve"> LAD management stated they "feel pretty good about the start of Q2" though noted "it doesn't feel quite as good as March was in the United States." Constructive but not euphoric.</w:t>
      </w:r>
    </w:p>
    <w:p>
      <w:pPr>
        <w:pStyle w:val="ListBullet"/>
        <w:ind w:left="360" w:hanging="360"/>
      </w:pPr>
      <w:r>
        <w:rPr>
          <w:rFonts w:ascii="Calibri" w:hAnsi="Calibri"/>
          <w:b/>
          <w:color w:val="525866"/>
          <w:sz w:val="22"/>
        </w:rPr>
        <w:t>Used vehicle demand and off-lease bulge:</w:t>
      </w:r>
      <w:r>
        <w:rPr>
          <w:rFonts w:ascii="Calibri" w:hAnsi="Calibri"/>
          <w:color w:val="525866"/>
          <w:sz w:val="22"/>
        </w:rPr>
        <w:t xml:space="preserve"> LAD noted a "bulge" in off-lease vehicles and anticipated that "with more cars available, it will help us definitely." Increased used vehicle supply is a positive for CVNA's sourcing and unit volume.</w:t>
      </w:r>
    </w:p>
    <w:p>
      <w:pPr>
        <w:pStyle w:val="ListBullet"/>
        <w:ind w:left="360" w:hanging="360"/>
      </w:pPr>
      <w:r>
        <w:rPr>
          <w:rFonts w:ascii="Calibri" w:hAnsi="Calibri"/>
          <w:b/>
          <w:color w:val="525866"/>
          <w:sz w:val="22"/>
        </w:rPr>
        <w:t>Used GPU improving sequentially:</w:t>
      </w:r>
      <w:r>
        <w:rPr>
          <w:rFonts w:ascii="Calibri" w:hAnsi="Calibri"/>
          <w:color w:val="525866"/>
          <w:sz w:val="22"/>
        </w:rPr>
        <w:t xml:space="preserve"> LAD's used GPU moved from $2,830 in Q4 to $3,309 in Q1 (including F&amp;I), up $470 sequentially, driven by repricing efforts. Sequential GPU improvement across the industry is a positive read-through for CVNA.</w:t>
      </w:r>
    </w:p>
    <w:p>
      <w:pPr>
        <w:pStyle w:val="Heading4"/>
      </w:pPr>
      <w:r>
        <w:rPr>
          <w:rFonts w:ascii="Calibri" w:hAnsi="Calibri"/>
          <w:b/>
          <w:color w:val="3B4259"/>
          <w:sz w:val="22"/>
        </w:rPr>
        <w:t>Penske Automotive (PAG) — Q1 2026 Earnings (April 29, 2026) — Forward Commentary on Q2</w:t>
      </w:r>
    </w:p>
    <w:p>
      <w:pPr>
        <w:pStyle w:val="ListBullet"/>
        <w:ind w:left="360" w:hanging="360"/>
      </w:pPr>
      <w:r>
        <w:rPr>
          <w:rFonts w:ascii="Calibri" w:hAnsi="Calibri"/>
          <w:b/>
          <w:color w:val="525866"/>
          <w:sz w:val="22"/>
        </w:rPr>
        <w:t>Used vehicle demand present but sourcing disciplined:</w:t>
      </w:r>
      <w:r>
        <w:rPr>
          <w:rFonts w:ascii="Calibri" w:hAnsi="Calibri"/>
          <w:color w:val="525866"/>
          <w:sz w:val="22"/>
        </w:rPr>
        <w:t xml:space="preserve"> PAG noted "there is demand in the used car market, but we've been disciplined again on our sourcing of used cars." Used retail GPU was $2,076/unit, up $306 sequentially. Constructive for CVNA's GPU trajectory.</w:t>
      </w:r>
    </w:p>
    <w:p>
      <w:pPr>
        <w:pStyle w:val="ListBullet"/>
        <w:ind w:left="360" w:hanging="360"/>
      </w:pPr>
      <w:r>
        <w:rPr>
          <w:rFonts w:ascii="Calibri" w:hAnsi="Calibri"/>
          <w:b/>
          <w:color w:val="525866"/>
          <w:sz w:val="22"/>
        </w:rPr>
        <w:t>Tariff pull-forward comp headwind confirmed:</w:t>
      </w:r>
      <w:r>
        <w:rPr>
          <w:rFonts w:ascii="Calibri" w:hAnsi="Calibri"/>
          <w:color w:val="525866"/>
          <w:sz w:val="22"/>
        </w:rPr>
        <w:t xml:space="preserve"> PAG noted retail units were impacted by "a difficult comparison to March 2025 when tariffs caused pull-ahead sales." This validates CVNA's flagged tariff comp headwind for Q2 2026.</w:t>
      </w:r>
    </w:p>
    <w:p>
      <w:pPr>
        <w:pStyle w:val="ListBullet"/>
        <w:ind w:left="360" w:hanging="360"/>
      </w:pPr>
      <w:r>
        <w:rPr>
          <w:rFonts w:ascii="Calibri" w:hAnsi="Calibri"/>
          <w:b/>
          <w:color w:val="525866"/>
          <w:sz w:val="22"/>
        </w:rPr>
        <w:t>SG&amp;A to anniversary UK social program costs in Q2:</w:t>
      </w:r>
      <w:r>
        <w:rPr>
          <w:rFonts w:ascii="Calibri" w:hAnsi="Calibri"/>
          <w:color w:val="525866"/>
          <w:sz w:val="22"/>
        </w:rPr>
        <w:t xml:space="preserve"> PAG noted Q2 will be the quarter where they "anniversary" the impact of UK social programs, which is PAG-specific and not directly relevant to CVNA.</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 xml:space="preserve">No open-market buys from insiders since Q1 earnings. The dominant activity is routine tax-withholding share forfeitures (code F) tied to RSU vesting, plus several 10b5-1 planned sales from the COO and CFO. </w:t>
      </w:r>
      <w:r>
        <w:rPr>
          <w:rFonts w:ascii="Calibri" w:hAnsi="Calibri"/>
          <w:b/>
          <w:color w:val="525866"/>
          <w:sz w:val="22"/>
        </w:rPr>
        <w:t>The one notable discretionary sale is COO Benjamin Huston's 50,000-share open-market sale on July 1, 2026 (under a 10b5-1 plan)</w:t>
      </w:r>
      <w:r>
        <w:rPr>
          <w:rFonts w:ascii="Calibri" w:hAnsi="Calibri"/>
          <w:color w:val="525866"/>
          <w:sz w:val="22"/>
        </w:rPr>
        <w:t xml:space="preserve"> — large in absolute terms but pre-planned and not a discretionary signal. Director Ira Platt sold 15,000 shares on June 15 via option exercise-and-sell, which is also routine. No clustered open-market buys or unusual discretionary selling patterns stand out.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Huston, Benjamin E.</w:t>
            </w:r>
          </w:p>
        </w:tc>
        <w:tc>
          <w:tcPr>
            <w:tcW w:type="dxa" w:w="1440"/>
          </w:tcPr>
          <w:p>
            <w:r>
              <w:rPr>
                <w:rFonts w:ascii="Calibri" w:hAnsi="Calibri"/>
                <w:sz w:val="22"/>
              </w:rPr>
              <w:t>Chief Operating Officer</w:t>
            </w:r>
          </w:p>
        </w:tc>
        <w:tc>
          <w:tcPr>
            <w:tcW w:type="dxa" w:w="1440"/>
          </w:tcPr>
          <w:p>
            <w:r>
              <w:rPr>
                <w:rFonts w:ascii="Calibri" w:hAnsi="Calibri"/>
                <w:sz w:val="22"/>
              </w:rPr>
              <w:t>10b5-1 Planned Sale</w:t>
            </w:r>
          </w:p>
        </w:tc>
        <w:tc>
          <w:tcPr>
            <w:tcW w:type="dxa" w:w="1440"/>
          </w:tcPr>
          <w:p>
            <w:r>
              <w:rPr>
                <w:rFonts w:ascii="Calibri" w:hAnsi="Calibri"/>
                <w:sz w:val="22"/>
              </w:rPr>
              <w:t>50,000</w:t>
            </w:r>
          </w:p>
        </w:tc>
        <w:tc>
          <w:tcPr>
            <w:tcW w:type="dxa" w:w="1440"/>
          </w:tcPr>
          <w:p>
            <w:r>
              <w:rPr>
                <w:rFonts w:ascii="Calibri" w:hAnsi="Calibri"/>
                <w:sz w:val="22"/>
              </w:rPr>
              <w:t>Jul 1, 2026</w:t>
            </w:r>
          </w:p>
        </w:tc>
        <w:tc>
          <w:tcPr>
            <w:tcW w:type="dxa" w:w="1440"/>
          </w:tcPr>
          <w:p>
            <w:r>
              <w:rPr>
                <w:rFonts w:ascii="Calibri" w:hAnsi="Calibri"/>
                <w:sz w:val="22"/>
              </w:rPr>
              <w:t>Pre-planned 10b5-1 sale; largest single open-market sale in the period; not a discretionary signal</w:t>
            </w:r>
          </w:p>
        </w:tc>
      </w:tr>
      <w:tr>
        <w:tc>
          <w:tcPr>
            <w:tcW w:type="dxa" w:w="1440"/>
          </w:tcPr>
          <w:p>
            <w:r>
              <w:rPr>
                <w:rFonts w:ascii="Calibri" w:hAnsi="Calibri"/>
                <w:sz w:val="22"/>
              </w:rPr>
              <w:t>Jenkins, Mark W.</w:t>
            </w:r>
          </w:p>
        </w:tc>
        <w:tc>
          <w:tcPr>
            <w:tcW w:type="dxa" w:w="1440"/>
          </w:tcPr>
          <w:p>
            <w:r>
              <w:rPr>
                <w:rFonts w:ascii="Calibri" w:hAnsi="Calibri"/>
                <w:sz w:val="22"/>
              </w:rPr>
              <w:t>Chief Financial Officer</w:t>
            </w:r>
          </w:p>
        </w:tc>
        <w:tc>
          <w:tcPr>
            <w:tcW w:type="dxa" w:w="1440"/>
          </w:tcPr>
          <w:p>
            <w:r>
              <w:rPr>
                <w:rFonts w:ascii="Calibri" w:hAnsi="Calibri"/>
                <w:sz w:val="22"/>
              </w:rPr>
              <w:t>10b5-1 Planned Sale (option exercise + sell)</w:t>
            </w:r>
          </w:p>
        </w:tc>
        <w:tc>
          <w:tcPr>
            <w:tcW w:type="dxa" w:w="1440"/>
          </w:tcPr>
          <w:p>
            <w:r>
              <w:rPr>
                <w:rFonts w:ascii="Calibri" w:hAnsi="Calibri"/>
                <w:sz w:val="22"/>
              </w:rPr>
              <w:t>63,750</w:t>
            </w:r>
          </w:p>
        </w:tc>
        <w:tc>
          <w:tcPr>
            <w:tcW w:type="dxa" w:w="1440"/>
          </w:tcPr>
          <w:p>
            <w:r>
              <w:rPr>
                <w:rFonts w:ascii="Calibri" w:hAnsi="Calibri"/>
                <w:sz w:val="22"/>
              </w:rPr>
              <w:t>Jul 1, 2026</w:t>
            </w:r>
          </w:p>
        </w:tc>
        <w:tc>
          <w:tcPr>
            <w:tcW w:type="dxa" w:w="1440"/>
          </w:tcPr>
          <w:p>
            <w:r>
              <w:rPr>
                <w:rFonts w:ascii="Calibri" w:hAnsi="Calibri"/>
                <w:sz w:val="22"/>
              </w:rPr>
              <w:t>Option exercise (M) + same-day sale (S) under 10b5-1 plan; routine cashless exercise</w:t>
            </w:r>
          </w:p>
        </w:tc>
      </w:tr>
      <w:tr>
        <w:tc>
          <w:tcPr>
            <w:tcW w:type="dxa" w:w="1440"/>
          </w:tcPr>
          <w:p>
            <w:r>
              <w:rPr>
                <w:rFonts w:ascii="Calibri" w:hAnsi="Calibri"/>
                <w:sz w:val="22"/>
              </w:rPr>
              <w:t>Platt, Ira J.</w:t>
            </w:r>
          </w:p>
        </w:tc>
        <w:tc>
          <w:tcPr>
            <w:tcW w:type="dxa" w:w="1440"/>
          </w:tcPr>
          <w:p>
            <w:r>
              <w:rPr>
                <w:rFonts w:ascii="Calibri" w:hAnsi="Calibri"/>
                <w:sz w:val="22"/>
              </w:rPr>
              <w:t>Director</w:t>
            </w:r>
          </w:p>
        </w:tc>
        <w:tc>
          <w:tcPr>
            <w:tcW w:type="dxa" w:w="1440"/>
          </w:tcPr>
          <w:p>
            <w:r>
              <w:rPr>
                <w:rFonts w:ascii="Calibri" w:hAnsi="Calibri"/>
                <w:sz w:val="22"/>
              </w:rPr>
              <w:t>Open Market Sale (option exercise + sell)</w:t>
            </w:r>
          </w:p>
        </w:tc>
        <w:tc>
          <w:tcPr>
            <w:tcW w:type="dxa" w:w="1440"/>
          </w:tcPr>
          <w:p>
            <w:r>
              <w:rPr>
                <w:rFonts w:ascii="Calibri" w:hAnsi="Calibri"/>
                <w:sz w:val="22"/>
              </w:rPr>
              <w:t>15,000</w:t>
            </w:r>
          </w:p>
        </w:tc>
        <w:tc>
          <w:tcPr>
            <w:tcW w:type="dxa" w:w="1440"/>
          </w:tcPr>
          <w:p>
            <w:r>
              <w:rPr>
                <w:rFonts w:ascii="Calibri" w:hAnsi="Calibri"/>
                <w:sz w:val="22"/>
              </w:rPr>
              <w:t>Jun 15, 2026</w:t>
            </w:r>
          </w:p>
        </w:tc>
        <w:tc>
          <w:tcPr>
            <w:tcW w:type="dxa" w:w="1440"/>
          </w:tcPr>
          <w:p>
            <w:r>
              <w:rPr>
                <w:rFonts w:ascii="Calibri" w:hAnsi="Calibri"/>
                <w:sz w:val="22"/>
              </w:rPr>
              <w:t>Option exercise (M) + same-day sale (S); not flagged as 10b5-1; routine director option monetization</w:t>
            </w:r>
          </w:p>
        </w:tc>
      </w:tr>
      <w:tr>
        <w:tc>
          <w:tcPr>
            <w:tcW w:type="dxa" w:w="1440"/>
          </w:tcPr>
          <w:p>
            <w:r>
              <w:rPr>
                <w:rFonts w:ascii="Calibri" w:hAnsi="Calibri"/>
                <w:sz w:val="22"/>
              </w:rPr>
              <w:t>Quayle, J. Danforth</w:t>
            </w:r>
          </w:p>
        </w:tc>
        <w:tc>
          <w:tcPr>
            <w:tcW w:type="dxa" w:w="1440"/>
          </w:tcPr>
          <w:p>
            <w:r>
              <w:rPr>
                <w:rFonts w:ascii="Calibri" w:hAnsi="Calibri"/>
                <w:sz w:val="22"/>
              </w:rPr>
              <w:t>Director</w:t>
            </w:r>
          </w:p>
        </w:tc>
        <w:tc>
          <w:tcPr>
            <w:tcW w:type="dxa" w:w="1440"/>
          </w:tcPr>
          <w:p>
            <w:r>
              <w:rPr>
                <w:rFonts w:ascii="Calibri" w:hAnsi="Calibri"/>
                <w:sz w:val="22"/>
              </w:rPr>
              <w:t>10b5-1 Planned Sale (option exercise + sell)</w:t>
            </w:r>
          </w:p>
        </w:tc>
        <w:tc>
          <w:tcPr>
            <w:tcW w:type="dxa" w:w="1440"/>
          </w:tcPr>
          <w:p>
            <w:r>
              <w:rPr>
                <w:rFonts w:ascii="Calibri" w:hAnsi="Calibri"/>
                <w:sz w:val="22"/>
              </w:rPr>
              <w:t>14,525</w:t>
            </w:r>
          </w:p>
        </w:tc>
        <w:tc>
          <w:tcPr>
            <w:tcW w:type="dxa" w:w="1440"/>
          </w:tcPr>
          <w:p>
            <w:r>
              <w:rPr>
                <w:rFonts w:ascii="Calibri" w:hAnsi="Calibri"/>
                <w:sz w:val="22"/>
              </w:rPr>
              <w:t>Jun 10, 2026</w:t>
            </w:r>
          </w:p>
        </w:tc>
        <w:tc>
          <w:tcPr>
            <w:tcW w:type="dxa" w:w="1440"/>
          </w:tcPr>
          <w:p>
            <w:r>
              <w:rPr>
                <w:rFonts w:ascii="Calibri" w:hAnsi="Calibri"/>
                <w:sz w:val="22"/>
              </w:rPr>
              <w:t>Option exercise (M) + same-day sale (S) under 10b5-1 plan; routine cashless exercise</w:t>
            </w:r>
          </w:p>
        </w:tc>
      </w:tr>
      <w:tr>
        <w:tc>
          <w:tcPr>
            <w:tcW w:type="dxa" w:w="1440"/>
          </w:tcPr>
          <w:p>
            <w:r>
              <w:rPr>
                <w:rFonts w:ascii="Calibri" w:hAnsi="Calibri"/>
                <w:sz w:val="22"/>
              </w:rPr>
              <w:t>Taira, Thomas</w:t>
            </w:r>
          </w:p>
        </w:tc>
        <w:tc>
          <w:tcPr>
            <w:tcW w:type="dxa" w:w="1440"/>
          </w:tcPr>
          <w:p>
            <w:r>
              <w:rPr>
                <w:rFonts w:ascii="Calibri" w:hAnsi="Calibri"/>
                <w:sz w:val="22"/>
              </w:rPr>
              <w:t>President, Special Projects</w:t>
            </w:r>
          </w:p>
        </w:tc>
        <w:tc>
          <w:tcPr>
            <w:tcW w:type="dxa" w:w="1440"/>
          </w:tcPr>
          <w:p>
            <w:r>
              <w:rPr>
                <w:rFonts w:ascii="Calibri" w:hAnsi="Calibri"/>
                <w:sz w:val="22"/>
              </w:rPr>
              <w:t>10b5-1 Planned Sale</w:t>
            </w:r>
          </w:p>
        </w:tc>
        <w:tc>
          <w:tcPr>
            <w:tcW w:type="dxa" w:w="1440"/>
          </w:tcPr>
          <w:p>
            <w:r>
              <w:rPr>
                <w:rFonts w:ascii="Calibri" w:hAnsi="Calibri"/>
                <w:sz w:val="22"/>
              </w:rPr>
              <w:t>5,597</w:t>
            </w:r>
          </w:p>
        </w:tc>
        <w:tc>
          <w:tcPr>
            <w:tcW w:type="dxa" w:w="1440"/>
          </w:tcPr>
          <w:p>
            <w:r>
              <w:rPr>
                <w:rFonts w:ascii="Calibri" w:hAnsi="Calibri"/>
                <w:sz w:val="22"/>
              </w:rPr>
              <w:t>Jun 8, 2026</w:t>
            </w:r>
          </w:p>
        </w:tc>
        <w:tc>
          <w:tcPr>
            <w:tcW w:type="dxa" w:w="1440"/>
          </w:tcPr>
          <w:p>
            <w:r>
              <w:rPr>
                <w:rFonts w:ascii="Calibri" w:hAnsi="Calibri"/>
                <w:sz w:val="22"/>
              </w:rPr>
              <w:t>Pre-planned 10b5-1 sale; routine</w:t>
            </w:r>
          </w:p>
        </w:tc>
      </w:tr>
      <w:tr>
        <w:tc>
          <w:tcPr>
            <w:tcW w:type="dxa" w:w="1440"/>
          </w:tcPr>
          <w:p>
            <w:r>
              <w:rPr>
                <w:rFonts w:ascii="Calibri" w:hAnsi="Calibri"/>
                <w:sz w:val="22"/>
              </w:rPr>
              <w:t>Taira, Thomas</w:t>
            </w:r>
          </w:p>
        </w:tc>
        <w:tc>
          <w:tcPr>
            <w:tcW w:type="dxa" w:w="1440"/>
          </w:tcPr>
          <w:p>
            <w:r>
              <w:rPr>
                <w:rFonts w:ascii="Calibri" w:hAnsi="Calibri"/>
                <w:sz w:val="22"/>
              </w:rPr>
              <w:t>President, Special Projects</w:t>
            </w:r>
          </w:p>
        </w:tc>
        <w:tc>
          <w:tcPr>
            <w:tcW w:type="dxa" w:w="1440"/>
          </w:tcPr>
          <w:p>
            <w:r>
              <w:rPr>
                <w:rFonts w:ascii="Calibri" w:hAnsi="Calibri"/>
                <w:sz w:val="22"/>
              </w:rPr>
              <w:t>10b5-1 Planned Sale</w:t>
            </w:r>
          </w:p>
        </w:tc>
        <w:tc>
          <w:tcPr>
            <w:tcW w:type="dxa" w:w="1440"/>
          </w:tcPr>
          <w:p>
            <w:r>
              <w:rPr>
                <w:rFonts w:ascii="Calibri" w:hAnsi="Calibri"/>
                <w:sz w:val="22"/>
              </w:rPr>
              <w:t>5,590</w:t>
            </w:r>
          </w:p>
        </w:tc>
        <w:tc>
          <w:tcPr>
            <w:tcW w:type="dxa" w:w="1440"/>
          </w:tcPr>
          <w:p>
            <w:r>
              <w:rPr>
                <w:rFonts w:ascii="Calibri" w:hAnsi="Calibri"/>
                <w:sz w:val="22"/>
              </w:rPr>
              <w:t>May 8, 2026</w:t>
            </w:r>
          </w:p>
        </w:tc>
        <w:tc>
          <w:tcPr>
            <w:tcW w:type="dxa" w:w="1440"/>
          </w:tcPr>
          <w:p>
            <w:r>
              <w:rPr>
                <w:rFonts w:ascii="Calibri" w:hAnsi="Calibri"/>
                <w:sz w:val="22"/>
              </w:rPr>
              <w:t>Pre-planned 10b5-1 sale; routine</w:t>
            </w:r>
          </w:p>
        </w:tc>
      </w:tr>
      <w:tr>
        <w:tc>
          <w:tcPr>
            <w:tcW w:type="dxa" w:w="1440"/>
          </w:tcPr>
          <w:p>
            <w:r>
              <w:rPr>
                <w:rFonts w:ascii="Calibri" w:hAnsi="Calibri"/>
                <w:sz w:val="22"/>
              </w:rPr>
              <w:t>Huston, Benjamin E.</w:t>
            </w:r>
          </w:p>
        </w:tc>
        <w:tc>
          <w:tcPr>
            <w:tcW w:type="dxa" w:w="1440"/>
          </w:tcPr>
          <w:p>
            <w:r>
              <w:rPr>
                <w:rFonts w:ascii="Calibri" w:hAnsi="Calibri"/>
                <w:sz w:val="22"/>
              </w:rPr>
              <w:t>Chief Operating Officer</w:t>
            </w:r>
          </w:p>
        </w:tc>
        <w:tc>
          <w:tcPr>
            <w:tcW w:type="dxa" w:w="1440"/>
          </w:tcPr>
          <w:p>
            <w:r>
              <w:rPr>
                <w:rFonts w:ascii="Calibri" w:hAnsi="Calibri"/>
                <w:sz w:val="22"/>
              </w:rPr>
              <w:t>10b5-1 Planned Sale (option exercise + sell)</w:t>
            </w:r>
          </w:p>
        </w:tc>
        <w:tc>
          <w:tcPr>
            <w:tcW w:type="dxa" w:w="1440"/>
          </w:tcPr>
          <w:p>
            <w:r>
              <w:rPr>
                <w:rFonts w:ascii="Calibri" w:hAnsi="Calibri"/>
                <w:sz w:val="22"/>
              </w:rPr>
              <w:t>10,000</w:t>
            </w:r>
          </w:p>
        </w:tc>
        <w:tc>
          <w:tcPr>
            <w:tcW w:type="dxa" w:w="1440"/>
          </w:tcPr>
          <w:p>
            <w:r>
              <w:rPr>
                <w:rFonts w:ascii="Calibri" w:hAnsi="Calibri"/>
                <w:sz w:val="22"/>
              </w:rPr>
              <w:t>May 1, 2026</w:t>
            </w:r>
          </w:p>
        </w:tc>
        <w:tc>
          <w:tcPr>
            <w:tcW w:type="dxa" w:w="1440"/>
          </w:tcPr>
          <w:p>
            <w:r>
              <w:rPr>
                <w:rFonts w:ascii="Calibri" w:hAnsi="Calibri"/>
                <w:sz w:val="22"/>
              </w:rPr>
              <w:t>Option exercise (M) + same-day sale (S) under 10b5-1 plan; routine cashless exercise</w:t>
            </w:r>
          </w:p>
        </w:tc>
      </w:tr>
      <w:tr>
        <w:tc>
          <w:tcPr>
            <w:tcW w:type="dxa" w:w="1440"/>
          </w:tcPr>
          <w:p>
            <w:r>
              <w:rPr>
                <w:rFonts w:ascii="Calibri" w:hAnsi="Calibri"/>
                <w:sz w:val="22"/>
              </w:rPr>
              <w:t>Jenkins, Mark W.</w:t>
            </w:r>
          </w:p>
        </w:tc>
        <w:tc>
          <w:tcPr>
            <w:tcW w:type="dxa" w:w="1440"/>
          </w:tcPr>
          <w:p>
            <w:r>
              <w:rPr>
                <w:rFonts w:ascii="Calibri" w:hAnsi="Calibri"/>
                <w:sz w:val="22"/>
              </w:rPr>
              <w:t>Chief Financial Officer</w:t>
            </w:r>
          </w:p>
        </w:tc>
        <w:tc>
          <w:tcPr>
            <w:tcW w:type="dxa" w:w="1440"/>
          </w:tcPr>
          <w:p>
            <w:r>
              <w:rPr>
                <w:rFonts w:ascii="Calibri" w:hAnsi="Calibri"/>
                <w:sz w:val="22"/>
              </w:rPr>
              <w:t>10b5-1 Planned Sale (option exercise + sell)</w:t>
            </w:r>
          </w:p>
        </w:tc>
        <w:tc>
          <w:tcPr>
            <w:tcW w:type="dxa" w:w="1440"/>
          </w:tcPr>
          <w:p>
            <w:r>
              <w:rPr>
                <w:rFonts w:ascii="Calibri" w:hAnsi="Calibri"/>
                <w:sz w:val="22"/>
              </w:rPr>
              <w:t>12,750</w:t>
            </w:r>
          </w:p>
        </w:tc>
        <w:tc>
          <w:tcPr>
            <w:tcW w:type="dxa" w:w="1440"/>
          </w:tcPr>
          <w:p>
            <w:r>
              <w:rPr>
                <w:rFonts w:ascii="Calibri" w:hAnsi="Calibri"/>
                <w:sz w:val="22"/>
              </w:rPr>
              <w:t>May 1, 2026</w:t>
            </w:r>
          </w:p>
        </w:tc>
        <w:tc>
          <w:tcPr>
            <w:tcW w:type="dxa" w:w="1440"/>
          </w:tcPr>
          <w:p>
            <w:r>
              <w:rPr>
                <w:rFonts w:ascii="Calibri" w:hAnsi="Calibri"/>
                <w:sz w:val="22"/>
              </w:rPr>
              <w:t>Option exercise (M) + same-day sale (S) under 10b5-1 plan; routine cashless exercise</w:t>
            </w:r>
          </w:p>
        </w:tc>
      </w:tr>
      <w:tr>
        <w:tc>
          <w:tcPr>
            <w:tcW w:type="dxa" w:w="1440"/>
          </w:tcPr>
          <w:p>
            <w:r>
              <w:rPr>
                <w:rFonts w:ascii="Calibri" w:hAnsi="Calibri"/>
                <w:sz w:val="22"/>
              </w:rPr>
              <w:t>Palmer, Stephen R.</w:t>
            </w:r>
          </w:p>
        </w:tc>
        <w:tc>
          <w:tcPr>
            <w:tcW w:type="dxa" w:w="1440"/>
          </w:tcPr>
          <w:p>
            <w:r>
              <w:rPr>
                <w:rFonts w:ascii="Calibri" w:hAnsi="Calibri"/>
                <w:sz w:val="22"/>
              </w:rPr>
              <w:t>VP of Accounting</w:t>
            </w:r>
          </w:p>
        </w:tc>
        <w:tc>
          <w:tcPr>
            <w:tcW w:type="dxa" w:w="1440"/>
          </w:tcPr>
          <w:p>
            <w:r>
              <w:rPr>
                <w:rFonts w:ascii="Calibri" w:hAnsi="Calibri"/>
                <w:sz w:val="22"/>
              </w:rPr>
              <w:t>10b5-1 Planned Sale</w:t>
            </w:r>
          </w:p>
        </w:tc>
        <w:tc>
          <w:tcPr>
            <w:tcW w:type="dxa" w:w="1440"/>
          </w:tcPr>
          <w:p>
            <w:r>
              <w:rPr>
                <w:rFonts w:ascii="Calibri" w:hAnsi="Calibri"/>
                <w:sz w:val="22"/>
              </w:rPr>
              <w:t>1,000</w:t>
            </w:r>
          </w:p>
        </w:tc>
        <w:tc>
          <w:tcPr>
            <w:tcW w:type="dxa" w:w="1440"/>
          </w:tcPr>
          <w:p>
            <w:r>
              <w:rPr>
                <w:rFonts w:ascii="Calibri" w:hAnsi="Calibri"/>
                <w:sz w:val="22"/>
              </w:rPr>
              <w:t>May 1, 2026</w:t>
            </w:r>
          </w:p>
        </w:tc>
        <w:tc>
          <w:tcPr>
            <w:tcW w:type="dxa" w:w="1440"/>
          </w:tcPr>
          <w:p>
            <w:r>
              <w:rPr>
                <w:rFonts w:ascii="Calibri" w:hAnsi="Calibri"/>
                <w:sz w:val="22"/>
              </w:rPr>
              <w:t>Pre-planned 10b5-1 sale; small and routine</w:t>
            </w:r>
          </w:p>
        </w:tc>
      </w:tr>
      <w:tr>
        <w:tc>
          <w:tcPr>
            <w:tcW w:type="dxa" w:w="1440"/>
          </w:tcPr>
          <w:p>
            <w:r>
              <w:rPr>
                <w:rFonts w:ascii="Calibri" w:hAnsi="Calibri"/>
                <w:sz w:val="22"/>
              </w:rPr>
              <w:t>Maroone, Michael E.</w:t>
            </w:r>
          </w:p>
        </w:tc>
        <w:tc>
          <w:tcPr>
            <w:tcW w:type="dxa" w:w="1440"/>
          </w:tcPr>
          <w:p>
            <w:r>
              <w:rPr>
                <w:rFonts w:ascii="Calibri" w:hAnsi="Calibri"/>
                <w:sz w:val="22"/>
              </w:rPr>
              <w:t>Director</w:t>
            </w:r>
          </w:p>
        </w:tc>
        <w:tc>
          <w:tcPr>
            <w:tcW w:type="dxa" w:w="1440"/>
          </w:tcPr>
          <w:p>
            <w:r>
              <w:rPr>
                <w:rFonts w:ascii="Calibri" w:hAnsi="Calibri"/>
                <w:sz w:val="22"/>
              </w:rPr>
              <w:t>Open Market Buy</w:t>
            </w:r>
          </w:p>
        </w:tc>
        <w:tc>
          <w:tcPr>
            <w:tcW w:type="dxa" w:w="1440"/>
          </w:tcPr>
          <w:p>
            <w:r>
              <w:rPr>
                <w:rFonts w:ascii="Calibri" w:hAnsi="Calibri"/>
                <w:sz w:val="22"/>
              </w:rPr>
              <w:t>5</w:t>
            </w:r>
          </w:p>
        </w:tc>
        <w:tc>
          <w:tcPr>
            <w:tcW w:type="dxa" w:w="1440"/>
          </w:tcPr>
          <w:p>
            <w:r>
              <w:rPr>
                <w:rFonts w:ascii="Calibri" w:hAnsi="Calibri"/>
                <w:sz w:val="22"/>
              </w:rPr>
              <w:t>Jan 8, 2026</w:t>
            </w:r>
          </w:p>
        </w:tc>
        <w:tc>
          <w:tcPr>
            <w:tcW w:type="dxa" w:w="1440"/>
          </w:tcPr>
          <w:p>
            <w:r>
              <w:rPr>
                <w:rFonts w:ascii="Calibri" w:hAnsi="Calibri"/>
                <w:sz w:val="22"/>
              </w:rPr>
              <w:t>Purchased via Family Trust; de minimis amount; not a meaningful signal</w:t>
            </w:r>
          </w:p>
        </w:tc>
      </w:tr>
    </w:tbl>
    <w:p>
      <w:r>
        <w:rPr>
          <w:rFonts w:ascii="Calibri" w:hAnsi="Calibri"/>
          <w:b/>
          <w:color w:val="525866"/>
          <w:sz w:val="22"/>
        </w:rPr>
        <w:t xml:space="preserve">Note: </w:t>
      </w:r>
      <w:r>
        <w:rPr>
          <w:rFonts w:ascii="Calibri" w:hAnsi="Calibri"/>
          <w:color w:val="525866"/>
          <w:sz w:val="22"/>
        </w:rPr>
        <w:t>The majority of transactions in the period are code F (tax withholding on RSU vesting) and code M/S (option exercise + same-day sale under 10b5-1 plans). These are obligation-driven and not discretionary signals. The only open-market buy in the period is Director Maroone's 5-share purchase in January 2026 via a family trust, which is de minimis. No clustered open-market buys or unusual discretionary selling patterns are present. All share counts reflect the post-split basis (5-for-1 effective May 8, 2026).</w:t>
      </w:r>
    </w:p>
    <w:p>
      <w:r>
        <w:rPr>
          <w:rFonts w:ascii="Calibri" w:hAnsi="Calibri"/>
          <w:i/>
          <w:color w:val="525866"/>
          <w:sz w:val="22"/>
        </w:rPr>
        <w:t>Source: SEC Form 4 filings / Insider Transaction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