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Carvana Co. (CVNA)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Carvana Co.</w:t>
            </w:r>
          </w:p>
        </w:tc>
        <w:tc>
          <w:tcPr>
            <w:tcW w:type="dxa" w:w="2160"/>
          </w:tcPr>
          <w:p>
            <w:r>
              <w:rPr>
                <w:rFonts w:ascii="Calibri" w:hAnsi="Calibri"/>
                <w:b/>
                <w:sz w:val="22"/>
              </w:rPr>
              <w:t>Ticker</w:t>
            </w:r>
          </w:p>
        </w:tc>
        <w:tc>
          <w:tcPr>
            <w:tcW w:type="dxa" w:w="2160"/>
          </w:tcPr>
          <w:p>
            <w:r>
              <w:rPr>
                <w:rFonts w:ascii="Calibri" w:hAnsi="Calibri"/>
                <w:sz w:val="22"/>
              </w:rPr>
              <w:t>CVNA</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Earnings Date</w:t>
            </w:r>
          </w:p>
        </w:tc>
        <w:tc>
          <w:tcPr>
            <w:tcW w:type="dxa" w:w="2160"/>
          </w:tcPr>
          <w:p>
            <w:r>
              <w:rPr>
                <w:rFonts w:ascii="Calibri" w:hAnsi="Calibri"/>
                <w:sz w:val="22"/>
              </w:rPr>
              <w:t>July 29, 2026 (after market close)</w:t>
            </w:r>
          </w:p>
        </w:tc>
      </w:tr>
      <w:tr>
        <w:tc>
          <w:tcPr>
            <w:tcW w:type="dxa" w:w="2160"/>
          </w:tcPr>
          <w:p>
            <w:r>
              <w:rPr>
                <w:rFonts w:ascii="Calibri" w:hAnsi="Calibri"/>
                <w:b/>
                <w:sz w:val="22"/>
              </w:rPr>
              <w:t>Prepared</w:t>
            </w:r>
          </w:p>
        </w:tc>
        <w:tc>
          <w:tcPr>
            <w:tcW w:type="dxa" w:w="2160"/>
          </w:tcPr>
          <w:p>
            <w:r>
              <w:rPr>
                <w:rFonts w:ascii="Calibri" w:hAnsi="Calibri"/>
                <w:sz w:val="22"/>
              </w:rPr>
              <w:t>July 28, 2026</w:t>
            </w:r>
          </w:p>
        </w:tc>
        <w:tc>
          <w:tcPr>
            <w:tcW w:type="dxa" w:w="2160"/>
          </w:tcPr>
          <w:p>
            <w:r>
              <w:rPr>
                <w:rFonts w:ascii="Calibri" w:hAnsi="Calibri"/>
                <w:b/>
                <w:sz w:val="22"/>
              </w:rPr>
              <w:t>Last Earnings</w:t>
            </w:r>
          </w:p>
        </w:tc>
        <w:tc>
          <w:tcPr>
            <w:tcW w:type="dxa" w:w="2160"/>
          </w:tcPr>
          <w:p>
            <w:r>
              <w:rPr>
                <w:rFonts w:ascii="Calibri" w:hAnsi="Calibri"/>
                <w:sz w:val="22"/>
              </w:rPr>
              <w:t>April 29,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is a manageable bar, management guided explicitly to all-time records on both retail units and Adjusted EBITDA, and the biggest swing factor is whether retail GPU holds up against flagged tariff and wholesale-to-retail spread headwinds.</w:t>
      </w:r>
    </w:p>
    <w:p>
      <w:r>
        <w:rPr>
          <w:rFonts w:ascii="Calibri" w:hAnsi="Calibri"/>
          <w:color w:val="525866"/>
          <w:sz w:val="22"/>
        </w:rPr>
        <w:t xml:space="preserve">Heading into Q2 2026, the bar for Carvana is high in absolute terms but well-telegraphed: management guided on the Q1 call to sequential all-time records in both retail units sold and Adjusted EBITDA, assuming a stable environment. </w:t>
      </w:r>
      <w:r>
        <w:rPr>
          <w:rFonts w:ascii="Calibri" w:hAnsi="Calibri"/>
          <w:b/>
          <w:color w:val="525866"/>
          <w:sz w:val="22"/>
        </w:rPr>
        <w:t>Consensus sits at ~195,633 retail units and ~$761M in Adjusted EBITDA</w:t>
      </w:r>
      <w:r>
        <w:rPr>
          <w:rFonts w:ascii="Calibri" w:hAnsi="Calibri"/>
          <w:color w:val="525866"/>
          <w:sz w:val="22"/>
        </w:rPr>
        <w:t xml:space="preserve"> — both above Q1 actuals of 187,393 units and $672M, and the company has beaten on both metrics in each of the last eight quarters. The guidance/tone from the April 29 call was unambiguously confident: management declared reconditioning issues from Q4 2025 "largely resolved," with April labor efficiency running near all-time best, and reiterated the path to 3 million units at 13.5% Adjusted EBITDA margin. Estimate revisions since the Q1 print have been remarkably stable — retail unit consensus has barely moved (195,413 on May 8 vs. 195,633 today) and Adjusted EBITDA is essentially flat — suggesting the street is anchored to guidance rather than building in incremental upside or downside. The stock has underperformed since Q1 earnings, down roughly 17% vs. the S&amp;P 500 (flat to slightly up), with multiple compression the dominant driver (NTM EV/EBITDA contracted from ~20x to ~14x), leaving the stock at a less demanding entry point than it was post-Q1. The key wildcard is </w:t>
      </w:r>
      <w:r>
        <w:rPr>
          <w:rFonts w:ascii="Calibri" w:hAnsi="Calibri"/>
          <w:b/>
          <w:color w:val="525866"/>
          <w:sz w:val="22"/>
        </w:rPr>
        <w:t>retail GPU</w:t>
      </w:r>
      <w:r>
        <w:rPr>
          <w:rFonts w:ascii="Calibri" w:hAnsi="Calibri"/>
          <w:color w:val="525866"/>
          <w:sz w:val="22"/>
        </w:rPr>
        <w:t>: management flagged ~$100–$200 of headwind from narrower wholesale-to-retail spreads and ~$100 of tariff-related year-over-year drag, and whether those headwinds are at the low or high end of the range will determine whether the EBITDA beat is modest or meaningful. A sequential GPU recovery combined with unit upside would be the catalyst for a re-rating; a GPU miss at the high end of the flagged range could disappoint even if units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reflects management’s own guidance — a manageable bar given the 8-quarter beat streak. </w:t>
      </w:r>
      <w:r>
        <w:rPr>
          <w:rFonts w:ascii="Calibri" w:hAnsi="Calibri"/>
          <w:color w:val="525866"/>
          <w:sz w:val="22"/>
        </w:rPr>
        <w:t>Retail units and Adjusted EBITDA are the two swing factors; retail GPU is the biggest source of potential surprise in either direction.</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Retail Units Sold (#)</w:t>
            </w:r>
          </w:p>
        </w:tc>
        <w:tc>
          <w:tcPr>
            <w:tcW w:type="dxa" w:w="1234"/>
          </w:tcPr>
          <w:p>
            <w:r>
              <w:rPr>
                <w:rFonts w:ascii="Calibri" w:hAnsi="Calibri"/>
                <w:sz w:val="22"/>
              </w:rPr>
              <w:t>187,393</w:t>
            </w:r>
          </w:p>
        </w:tc>
        <w:tc>
          <w:tcPr>
            <w:tcW w:type="dxa" w:w="1234"/>
          </w:tcPr>
          <w:p>
            <w:r>
              <w:rPr>
                <w:rFonts w:ascii="Calibri" w:hAnsi="Calibri"/>
                <w:sz w:val="22"/>
              </w:rPr>
              <w:t>143,280</w:t>
            </w:r>
          </w:p>
        </w:tc>
        <w:tc>
          <w:tcPr>
            <w:tcW w:type="dxa" w:w="1234"/>
          </w:tcPr>
          <w:p>
            <w:r>
              <w:rPr>
                <w:rFonts w:ascii="Calibri" w:hAnsi="Calibri"/>
                <w:sz w:val="22"/>
              </w:rPr>
              <w:t>195,633</w:t>
            </w:r>
          </w:p>
        </w:tc>
        <w:tc>
          <w:tcPr>
            <w:tcW w:type="dxa" w:w="1234"/>
          </w:tcPr>
          <w:p>
            <w:r>
              <w:rPr>
                <w:rFonts w:ascii="Calibri" w:hAnsi="Calibri"/>
                <w:sz w:val="22"/>
              </w:rPr>
              <w:t>+36.5%</w:t>
            </w:r>
          </w:p>
        </w:tc>
        <w:tc>
          <w:tcPr>
            <w:tcW w:type="dxa" w:w="1234"/>
          </w:tcPr>
          <w:p>
            <w:r>
              <w:rPr>
                <w:rFonts w:ascii="Calibri" w:hAnsi="Calibri"/>
                <w:sz w:val="22"/>
              </w:rPr>
              <w:t>Sequential all-time record (&gt;187,393)</w:t>
            </w:r>
          </w:p>
        </w:tc>
        <w:tc>
          <w:tcPr>
            <w:tcW w:type="dxa" w:w="1234"/>
          </w:tcPr>
          <w:p>
            <w:r>
              <w:rPr>
                <w:rFonts w:ascii="Calibri" w:hAnsi="Calibri"/>
                <w:sz w:val="22"/>
              </w:rPr>
              <w:t>Above guidance floor — in line</w:t>
            </w:r>
          </w:p>
        </w:tc>
      </w:tr>
      <w:tr>
        <w:tc>
          <w:tcPr>
            <w:tcW w:type="dxa" w:w="1234"/>
          </w:tcPr>
          <w:p>
            <w:r>
              <w:rPr>
                <w:rFonts w:ascii="Calibri" w:hAnsi="Calibri"/>
                <w:sz w:val="22"/>
              </w:rPr>
              <w:t>Adjusted EBITDA ($M)</w:t>
            </w:r>
          </w:p>
        </w:tc>
        <w:tc>
          <w:tcPr>
            <w:tcW w:type="dxa" w:w="1234"/>
          </w:tcPr>
          <w:p>
            <w:r>
              <w:rPr>
                <w:rFonts w:ascii="Calibri" w:hAnsi="Calibri"/>
                <w:sz w:val="22"/>
              </w:rPr>
              <w:t>$672M</w:t>
            </w:r>
          </w:p>
        </w:tc>
        <w:tc>
          <w:tcPr>
            <w:tcW w:type="dxa" w:w="1234"/>
          </w:tcPr>
          <w:p>
            <w:r>
              <w:rPr>
                <w:rFonts w:ascii="Calibri" w:hAnsi="Calibri"/>
                <w:sz w:val="22"/>
              </w:rPr>
              <w:t>$601M</w:t>
            </w:r>
          </w:p>
        </w:tc>
        <w:tc>
          <w:tcPr>
            <w:tcW w:type="dxa" w:w="1234"/>
          </w:tcPr>
          <w:p>
            <w:r>
              <w:rPr>
                <w:rFonts w:ascii="Calibri" w:hAnsi="Calibri"/>
                <w:sz w:val="22"/>
              </w:rPr>
              <w:t>$761M</w:t>
            </w:r>
          </w:p>
        </w:tc>
        <w:tc>
          <w:tcPr>
            <w:tcW w:type="dxa" w:w="1234"/>
          </w:tcPr>
          <w:p>
            <w:r>
              <w:rPr>
                <w:rFonts w:ascii="Calibri" w:hAnsi="Calibri"/>
                <w:sz w:val="22"/>
              </w:rPr>
              <w:t>+26.6%</w:t>
            </w:r>
          </w:p>
        </w:tc>
        <w:tc>
          <w:tcPr>
            <w:tcW w:type="dxa" w:w="1234"/>
          </w:tcPr>
          <w:p>
            <w:r>
              <w:rPr>
                <w:rFonts w:ascii="Calibri" w:hAnsi="Calibri"/>
                <w:sz w:val="22"/>
              </w:rPr>
              <w:t>Sequential all-time record (&gt;$672M)</w:t>
            </w:r>
          </w:p>
        </w:tc>
        <w:tc>
          <w:tcPr>
            <w:tcW w:type="dxa" w:w="1234"/>
          </w:tcPr>
          <w:p>
            <w:r>
              <w:rPr>
                <w:rFonts w:ascii="Calibri" w:hAnsi="Calibri"/>
                <w:sz w:val="22"/>
              </w:rPr>
              <w:t>Above guidance floor — in line</w:t>
            </w:r>
          </w:p>
        </w:tc>
      </w:tr>
      <w:tr>
        <w:tc>
          <w:tcPr>
            <w:tcW w:type="dxa" w:w="1234"/>
          </w:tcPr>
          <w:p>
            <w:r>
              <w:rPr>
                <w:rFonts w:ascii="Calibri" w:hAnsi="Calibri"/>
                <w:sz w:val="22"/>
              </w:rPr>
              <w:t>Adj. EBITDA per Retail Unit ($)</w:t>
            </w:r>
          </w:p>
        </w:tc>
        <w:tc>
          <w:tcPr>
            <w:tcW w:type="dxa" w:w="1234"/>
          </w:tcPr>
          <w:p>
            <w:r>
              <w:rPr>
                <w:rFonts w:ascii="Calibri" w:hAnsi="Calibri"/>
                <w:sz w:val="22"/>
              </w:rPr>
              <w:t>$3,586</w:t>
            </w:r>
          </w:p>
        </w:tc>
        <w:tc>
          <w:tcPr>
            <w:tcW w:type="dxa" w:w="1234"/>
          </w:tcPr>
          <w:p>
            <w:r>
              <w:rPr>
                <w:rFonts w:ascii="Calibri" w:hAnsi="Calibri"/>
                <w:sz w:val="22"/>
              </w:rPr>
              <w:t>$4,195</w:t>
            </w:r>
          </w:p>
        </w:tc>
        <w:tc>
          <w:tcPr>
            <w:tcW w:type="dxa" w:w="1234"/>
          </w:tcPr>
          <w:p>
            <w:r>
              <w:rPr>
                <w:rFonts w:ascii="Calibri" w:hAnsi="Calibri"/>
                <w:sz w:val="22"/>
              </w:rPr>
              <w:t>$3,877</w:t>
            </w:r>
          </w:p>
        </w:tc>
        <w:tc>
          <w:tcPr>
            <w:tcW w:type="dxa" w:w="1234"/>
          </w:tcPr>
          <w:p>
            <w:r>
              <w:rPr>
                <w:rFonts w:ascii="Calibri" w:hAnsi="Calibri"/>
                <w:sz w:val="22"/>
              </w:rPr>
              <w:t>-7.6%</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Gross Profit per Retail Unit ($)</w:t>
            </w:r>
          </w:p>
        </w:tc>
        <w:tc>
          <w:tcPr>
            <w:tcW w:type="dxa" w:w="1234"/>
          </w:tcPr>
          <w:p>
            <w:r>
              <w:rPr>
                <w:rFonts w:ascii="Calibri" w:hAnsi="Calibri"/>
                <w:sz w:val="22"/>
              </w:rPr>
              <w:t>$6,783</w:t>
            </w:r>
          </w:p>
        </w:tc>
        <w:tc>
          <w:tcPr>
            <w:tcW w:type="dxa" w:w="1234"/>
          </w:tcPr>
          <w:p>
            <w:r>
              <w:rPr>
                <w:rFonts w:ascii="Calibri" w:hAnsi="Calibri"/>
                <w:sz w:val="22"/>
              </w:rPr>
              <w:t>$7,426</w:t>
            </w:r>
          </w:p>
        </w:tc>
        <w:tc>
          <w:tcPr>
            <w:tcW w:type="dxa" w:w="1234"/>
          </w:tcPr>
          <w:p>
            <w:r>
              <w:rPr>
                <w:rFonts w:ascii="Calibri" w:hAnsi="Calibri"/>
                <w:sz w:val="22"/>
              </w:rPr>
              <w:t>$7,030</w:t>
            </w:r>
          </w:p>
        </w:tc>
        <w:tc>
          <w:tcPr>
            <w:tcW w:type="dxa" w:w="1234"/>
          </w:tcPr>
          <w:p>
            <w:r>
              <w:rPr>
                <w:rFonts w:ascii="Calibri" w:hAnsi="Calibri"/>
                <w:sz w:val="22"/>
              </w:rPr>
              <w:t>-5.3%</w:t>
            </w:r>
          </w:p>
        </w:tc>
        <w:tc>
          <w:tcPr>
            <w:tcW w:type="dxa" w:w="1234"/>
          </w:tcPr>
          <w:p>
            <w:r>
              <w:rPr>
                <w:rFonts w:ascii="Calibri" w:hAnsi="Calibri"/>
                <w:sz w:val="22"/>
              </w:rPr>
              <w:t>Sequential increase; YoY decrease (~$100–$300 headwind flagged)</w:t>
            </w:r>
          </w:p>
        </w:tc>
        <w:tc>
          <w:tcPr>
            <w:tcW w:type="dxa" w:w="1234"/>
          </w:tcPr>
          <w:p>
            <w:r>
              <w:rPr>
                <w:rFonts w:ascii="Calibri" w:hAnsi="Calibri"/>
                <w:sz w:val="22"/>
              </w:rPr>
              <w:t>In line with guidance range</w:t>
            </w:r>
          </w:p>
        </w:tc>
      </w:tr>
      <w:tr>
        <w:tc>
          <w:tcPr>
            <w:tcW w:type="dxa" w:w="1234"/>
          </w:tcPr>
          <w:p>
            <w:r>
              <w:rPr>
                <w:rFonts w:ascii="Calibri" w:hAnsi="Calibri"/>
                <w:sz w:val="22"/>
              </w:rPr>
              <w:t>Revenue / Net Sales ($B)</w:t>
            </w:r>
          </w:p>
        </w:tc>
        <w:tc>
          <w:tcPr>
            <w:tcW w:type="dxa" w:w="1234"/>
          </w:tcPr>
          <w:p>
            <w:r>
              <w:rPr>
                <w:rFonts w:ascii="Calibri" w:hAnsi="Calibri"/>
                <w:sz w:val="22"/>
              </w:rPr>
              <w:t>$6.43B</w:t>
            </w:r>
          </w:p>
        </w:tc>
        <w:tc>
          <w:tcPr>
            <w:tcW w:type="dxa" w:w="1234"/>
          </w:tcPr>
          <w:p>
            <w:r>
              <w:rPr>
                <w:rFonts w:ascii="Calibri" w:hAnsi="Calibri"/>
                <w:sz w:val="22"/>
              </w:rPr>
              <w:t>$4.84B</w:t>
            </w:r>
          </w:p>
        </w:tc>
        <w:tc>
          <w:tcPr>
            <w:tcW w:type="dxa" w:w="1234"/>
          </w:tcPr>
          <w:p>
            <w:r>
              <w:rPr>
                <w:rFonts w:ascii="Calibri" w:hAnsi="Calibri"/>
                <w:sz w:val="22"/>
              </w:rPr>
              <w:t>$6.85B</w:t>
            </w:r>
          </w:p>
        </w:tc>
        <w:tc>
          <w:tcPr>
            <w:tcW w:type="dxa" w:w="1234"/>
          </w:tcPr>
          <w:p>
            <w:r>
              <w:rPr>
                <w:rFonts w:ascii="Calibri" w:hAnsi="Calibri"/>
                <w:sz w:val="22"/>
              </w:rPr>
              <w:t>+41.5%</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$0.358</w:t>
            </w:r>
          </w:p>
        </w:tc>
        <w:tc>
          <w:tcPr>
            <w:tcW w:type="dxa" w:w="1234"/>
          </w:tcPr>
          <w:p>
            <w:r>
              <w:rPr>
                <w:rFonts w:ascii="Calibri" w:hAnsi="Calibri"/>
                <w:sz w:val="22"/>
              </w:rPr>
              <w:t>$0.301</w:t>
            </w:r>
          </w:p>
        </w:tc>
        <w:tc>
          <w:tcPr>
            <w:tcW w:type="dxa" w:w="1234"/>
          </w:tcPr>
          <w:p>
            <w:r>
              <w:rPr>
                <w:rFonts w:ascii="Calibri" w:hAnsi="Calibri"/>
                <w:sz w:val="22"/>
              </w:rPr>
              <w:t>$0.420</w:t>
            </w:r>
          </w:p>
        </w:tc>
        <w:tc>
          <w:tcPr>
            <w:tcW w:type="dxa" w:w="1234"/>
          </w:tcPr>
          <w:p>
            <w:r>
              <w:rPr>
                <w:rFonts w:ascii="Calibri" w:hAnsi="Calibri"/>
                <w:sz w:val="22"/>
              </w:rPr>
              <w:t>+39.5%</w:t>
            </w:r>
          </w:p>
        </w:tc>
        <w:tc>
          <w:tcPr>
            <w:tcW w:type="dxa" w:w="1234"/>
          </w:tcPr>
          <w:p>
            <w:r>
              <w:rPr>
                <w:rFonts w:ascii="Calibri" w:hAnsi="Calibri"/>
                <w:sz w:val="22"/>
              </w:rPr>
              <w:t>Not explicitly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All consensus figures as of July 28, 2026. Q1 2026 actuals from Carvana Q1 2026 Earnings Release (April 29, 2026). Note: EPS figures reflect post-5-for-1 stock split basis (effective May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Retail Units Sold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187,393</w:t>
            </w:r>
          </w:p>
        </w:tc>
        <w:tc>
          <w:tcPr>
            <w:tcW w:type="dxa" w:w="1728"/>
          </w:tcPr>
          <w:p>
            <w:r>
              <w:rPr>
                <w:rFonts w:ascii="Calibri" w:hAnsi="Calibri"/>
                <w:sz w:val="22"/>
              </w:rPr>
              <w:t>179,873</w:t>
            </w:r>
          </w:p>
        </w:tc>
        <w:tc>
          <w:tcPr>
            <w:tcW w:type="dxa" w:w="1728"/>
          </w:tcPr>
          <w:p>
            <w:r>
              <w:rPr>
                <w:rFonts w:ascii="Calibri" w:hAnsi="Calibri"/>
                <w:b/>
                <w:color w:val="30A46C"/>
                <w:sz w:val="22"/>
              </w:rPr>
              <w:t>+4.2%</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163,522</w:t>
            </w:r>
          </w:p>
        </w:tc>
        <w:tc>
          <w:tcPr>
            <w:tcW w:type="dxa" w:w="1728"/>
          </w:tcPr>
          <w:p>
            <w:r>
              <w:rPr>
                <w:rFonts w:ascii="Calibri" w:hAnsi="Calibri"/>
                <w:sz w:val="22"/>
              </w:rPr>
              <w:t>156,979</w:t>
            </w:r>
          </w:p>
        </w:tc>
        <w:tc>
          <w:tcPr>
            <w:tcW w:type="dxa" w:w="1728"/>
          </w:tcPr>
          <w:p>
            <w:r>
              <w:rPr>
                <w:rFonts w:ascii="Calibri" w:hAnsi="Calibri"/>
                <w:b/>
                <w:color w:val="30A46C"/>
                <w:sz w:val="22"/>
              </w:rPr>
              <w:t>+4.2%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155,941</w:t>
            </w:r>
          </w:p>
        </w:tc>
        <w:tc>
          <w:tcPr>
            <w:tcW w:type="dxa" w:w="1728"/>
          </w:tcPr>
          <w:p>
            <w:r>
              <w:rPr>
                <w:rFonts w:ascii="Calibri" w:hAnsi="Calibri"/>
                <w:sz w:val="22"/>
              </w:rPr>
              <w:t>150,901</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143,280</w:t>
            </w:r>
          </w:p>
        </w:tc>
        <w:tc>
          <w:tcPr>
            <w:tcW w:type="dxa" w:w="1728"/>
          </w:tcPr>
          <w:p>
            <w:r>
              <w:rPr>
                <w:rFonts w:ascii="Calibri" w:hAnsi="Calibri"/>
                <w:sz w:val="22"/>
              </w:rPr>
              <w:t>142,229</w:t>
            </w:r>
          </w:p>
        </w:tc>
        <w:tc>
          <w:tcPr>
            <w:tcW w:type="dxa" w:w="1728"/>
          </w:tcPr>
          <w:p>
            <w:r>
              <w:rPr>
                <w:rFonts w:ascii="Calibri" w:hAnsi="Calibri"/>
                <w:b/>
                <w:color w:val="30A46C"/>
                <w:sz w:val="22"/>
              </w:rPr>
              <w:t>+0.7%</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133,898</w:t>
            </w:r>
          </w:p>
        </w:tc>
        <w:tc>
          <w:tcPr>
            <w:tcW w:type="dxa" w:w="1728"/>
          </w:tcPr>
          <w:p>
            <w:r>
              <w:rPr>
                <w:rFonts w:ascii="Calibri" w:hAnsi="Calibri"/>
                <w:sz w:val="22"/>
              </w:rPr>
              <w:t>126,922</w:t>
            </w:r>
          </w:p>
        </w:tc>
        <w:tc>
          <w:tcPr>
            <w:tcW w:type="dxa" w:w="1728"/>
          </w:tcPr>
          <w:p>
            <w:r>
              <w:rPr>
                <w:rFonts w:ascii="Calibri" w:hAnsi="Calibri"/>
                <w:b/>
                <w:color w:val="30A46C"/>
                <w:sz w:val="22"/>
              </w:rPr>
              <w:t>+5.5%</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114,379</w:t>
            </w:r>
          </w:p>
        </w:tc>
        <w:tc>
          <w:tcPr>
            <w:tcW w:type="dxa" w:w="1728"/>
          </w:tcPr>
          <w:p>
            <w:r>
              <w:rPr>
                <w:rFonts w:ascii="Calibri" w:hAnsi="Calibri"/>
                <w:sz w:val="22"/>
              </w:rPr>
              <w:t>108,628</w:t>
            </w:r>
          </w:p>
        </w:tc>
        <w:tc>
          <w:tcPr>
            <w:tcW w:type="dxa" w:w="1728"/>
          </w:tcPr>
          <w:p>
            <w:r>
              <w:rPr>
                <w:rFonts w:ascii="Calibri" w:hAnsi="Calibri"/>
                <w:b/>
                <w:color w:val="30A46C"/>
                <w:sz w:val="22"/>
              </w:rPr>
              <w:t>+5.3%</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108,651</w:t>
            </w:r>
          </w:p>
        </w:tc>
        <w:tc>
          <w:tcPr>
            <w:tcW w:type="dxa" w:w="1728"/>
          </w:tcPr>
          <w:p>
            <w:r>
              <w:rPr>
                <w:rFonts w:ascii="Calibri" w:hAnsi="Calibri"/>
                <w:sz w:val="22"/>
              </w:rPr>
              <w:t>106,919</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101,440*</w:t>
            </w:r>
          </w:p>
        </w:tc>
        <w:tc>
          <w:tcPr>
            <w:tcW w:type="dxa" w:w="1728"/>
          </w:tcPr>
          <w:p>
            <w:r>
              <w:rPr>
                <w:rFonts w:ascii="Calibri" w:hAnsi="Calibri"/>
                <w:sz w:val="22"/>
              </w:rPr>
              <w:t>~98,000*</w:t>
            </w:r>
          </w:p>
        </w:tc>
        <w:tc>
          <w:tcPr>
            <w:tcW w:type="dxa" w:w="1728"/>
          </w:tcPr>
          <w:p>
            <w:r>
              <w:rPr>
                <w:rFonts w:ascii="Calibri" w:hAnsi="Calibri"/>
                <w:b/>
                <w:color w:val="30A46C"/>
                <w:sz w:val="22"/>
              </w:rPr>
              <w:t>+~3.5%*</w:t>
            </w:r>
          </w:p>
        </w:tc>
        <w:tc>
          <w:tcPr>
            <w:tcW w:type="dxa" w:w="1728"/>
          </w:tcPr>
          <w:p>
            <w:r>
              <w:rPr>
                <w:rFonts w:ascii="Calibri" w:hAnsi="Calibri"/>
                <w:sz w:val="22"/>
              </w:rPr>
              <w:t>Beat</w:t>
            </w:r>
          </w:p>
        </w:tc>
      </w:tr>
    </w:tbl>
    <w:p>
      <w:r>
        <w:rPr>
          <w:rFonts w:ascii="Calibri" w:hAnsi="Calibri"/>
          <w:i/>
          <w:color w:val="525866"/>
          <w:sz w:val="22"/>
        </w:rPr>
        <w:t>* Q2 2024 figures estimated from public disclosures; not in VA dataset window. Source: Visible Alpha Consensus and Actuals Data.</w:t>
      </w:r>
    </w:p>
    <w:p>
      <w:pPr>
        <w:pStyle w:val="Heading4"/>
      </w:pPr>
      <w:r>
        <w:rPr>
          <w:rFonts w:ascii="Calibri" w:hAnsi="Calibri"/>
          <w:b/>
          <w:color w:val="3B4259"/>
          <w:sz w:val="22"/>
        </w:rPr>
        <w:t>KPI 2: Adjusted EBITDA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$672M</w:t>
            </w:r>
          </w:p>
        </w:tc>
        <w:tc>
          <w:tcPr>
            <w:tcW w:type="dxa" w:w="1728"/>
          </w:tcPr>
          <w:p>
            <w:r>
              <w:rPr>
                <w:rFonts w:ascii="Calibri" w:hAnsi="Calibri"/>
                <w:sz w:val="22"/>
              </w:rPr>
              <w:t>$646M</w:t>
            </w:r>
          </w:p>
        </w:tc>
        <w:tc>
          <w:tcPr>
            <w:tcW w:type="dxa" w:w="1728"/>
          </w:tcPr>
          <w:p>
            <w:r>
              <w:rPr>
                <w:rFonts w:ascii="Calibri" w:hAnsi="Calibri"/>
                <w:b/>
                <w:color w:val="30A46C"/>
                <w:sz w:val="22"/>
              </w:rPr>
              <w:t>+4.1%</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$511M</w:t>
            </w:r>
          </w:p>
        </w:tc>
        <w:tc>
          <w:tcPr>
            <w:tcW w:type="dxa" w:w="1728"/>
          </w:tcPr>
          <w:p>
            <w:r>
              <w:rPr>
                <w:rFonts w:ascii="Calibri" w:hAnsi="Calibri"/>
                <w:sz w:val="22"/>
              </w:rPr>
              <w:t>$538M</w:t>
            </w:r>
          </w:p>
        </w:tc>
        <w:tc>
          <w:tcPr>
            <w:tcW w:type="dxa" w:w="1728"/>
          </w:tcPr>
          <w:p>
            <w:r>
              <w:rPr>
                <w:rFonts w:ascii="Calibri" w:hAnsi="Calibri"/>
                <w:b/>
                <w:color w:val="E5484D"/>
                <w:sz w:val="22"/>
              </w:rPr>
              <w:t>-5.0%</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$637M</w:t>
            </w:r>
          </w:p>
        </w:tc>
        <w:tc>
          <w:tcPr>
            <w:tcW w:type="dxa" w:w="1728"/>
          </w:tcPr>
          <w:p>
            <w:r>
              <w:rPr>
                <w:rFonts w:ascii="Calibri" w:hAnsi="Calibri"/>
                <w:sz w:val="22"/>
              </w:rPr>
              <w:t>$602M</w:t>
            </w:r>
          </w:p>
        </w:tc>
        <w:tc>
          <w:tcPr>
            <w:tcW w:type="dxa" w:w="1728"/>
          </w:tcPr>
          <w:p>
            <w:r>
              <w:rPr>
                <w:rFonts w:ascii="Calibri" w:hAnsi="Calibri"/>
                <w:b/>
                <w:color w:val="30A46C"/>
                <w:sz w:val="22"/>
              </w:rPr>
              <w:t>+5.8%</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$601M</w:t>
            </w:r>
          </w:p>
        </w:tc>
        <w:tc>
          <w:tcPr>
            <w:tcW w:type="dxa" w:w="1728"/>
          </w:tcPr>
          <w:p>
            <w:r>
              <w:rPr>
                <w:rFonts w:ascii="Calibri" w:hAnsi="Calibri"/>
                <w:sz w:val="22"/>
              </w:rPr>
              <w:t>$557M</w:t>
            </w:r>
          </w:p>
        </w:tc>
        <w:tc>
          <w:tcPr>
            <w:tcW w:type="dxa" w:w="1728"/>
          </w:tcPr>
          <w:p>
            <w:r>
              <w:rPr>
                <w:rFonts w:ascii="Calibri" w:hAnsi="Calibri"/>
                <w:b/>
                <w:color w:val="30A46C"/>
                <w:sz w:val="22"/>
              </w:rPr>
              <w:t>+7.9%</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$488M</w:t>
            </w:r>
          </w:p>
        </w:tc>
        <w:tc>
          <w:tcPr>
            <w:tcW w:type="dxa" w:w="1728"/>
          </w:tcPr>
          <w:p>
            <w:r>
              <w:rPr>
                <w:rFonts w:ascii="Calibri" w:hAnsi="Calibri"/>
                <w:sz w:val="22"/>
              </w:rPr>
              <w:t>$435M</w:t>
            </w:r>
          </w:p>
        </w:tc>
        <w:tc>
          <w:tcPr>
            <w:tcW w:type="dxa" w:w="1728"/>
          </w:tcPr>
          <w:p>
            <w:r>
              <w:rPr>
                <w:rFonts w:ascii="Calibri" w:hAnsi="Calibri"/>
                <w:b/>
                <w:color w:val="30A46C"/>
                <w:sz w:val="22"/>
              </w:rPr>
              <w:t>+12.2%</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$359M</w:t>
            </w:r>
          </w:p>
        </w:tc>
        <w:tc>
          <w:tcPr>
            <w:tcW w:type="dxa" w:w="1728"/>
          </w:tcPr>
          <w:p>
            <w:r>
              <w:rPr>
                <w:rFonts w:ascii="Calibri" w:hAnsi="Calibri"/>
                <w:sz w:val="22"/>
              </w:rPr>
              <w:t>$332M</w:t>
            </w:r>
          </w:p>
        </w:tc>
        <w:tc>
          <w:tcPr>
            <w:tcW w:type="dxa" w:w="1728"/>
          </w:tcPr>
          <w:p>
            <w:r>
              <w:rPr>
                <w:rFonts w:ascii="Calibri" w:hAnsi="Calibri"/>
                <w:b/>
                <w:color w:val="30A46C"/>
                <w:sz w:val="22"/>
              </w:rPr>
              <w:t>+8.1%</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$429M</w:t>
            </w:r>
          </w:p>
        </w:tc>
        <w:tc>
          <w:tcPr>
            <w:tcW w:type="dxa" w:w="1728"/>
          </w:tcPr>
          <w:p>
            <w:r>
              <w:rPr>
                <w:rFonts w:ascii="Calibri" w:hAnsi="Calibri"/>
                <w:sz w:val="22"/>
              </w:rPr>
              <w:t>$328M</w:t>
            </w:r>
          </w:p>
        </w:tc>
        <w:tc>
          <w:tcPr>
            <w:tcW w:type="dxa" w:w="1728"/>
          </w:tcPr>
          <w:p>
            <w:r>
              <w:rPr>
                <w:rFonts w:ascii="Calibri" w:hAnsi="Calibri"/>
                <w:b/>
                <w:color w:val="30A46C"/>
                <w:sz w:val="22"/>
              </w:rPr>
              <w:t>+30.8%</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~$355M*</w:t>
            </w:r>
          </w:p>
        </w:tc>
        <w:tc>
          <w:tcPr>
            <w:tcW w:type="dxa" w:w="1728"/>
          </w:tcPr>
          <w:p>
            <w:r>
              <w:rPr>
                <w:rFonts w:ascii="Calibri" w:hAnsi="Calibri"/>
                <w:sz w:val="22"/>
              </w:rPr>
              <w:t>~$300M*</w:t>
            </w:r>
          </w:p>
        </w:tc>
        <w:tc>
          <w:tcPr>
            <w:tcW w:type="dxa" w:w="1728"/>
          </w:tcPr>
          <w:p>
            <w:r>
              <w:rPr>
                <w:rFonts w:ascii="Calibri" w:hAnsi="Calibri"/>
                <w:b/>
                <w:color w:val="30A46C"/>
                <w:sz w:val="22"/>
              </w:rPr>
              <w:t>+~18%*</w:t>
            </w:r>
          </w:p>
        </w:tc>
        <w:tc>
          <w:tcPr>
            <w:tcW w:type="dxa" w:w="1728"/>
          </w:tcPr>
          <w:p>
            <w:r>
              <w:rPr>
                <w:rFonts w:ascii="Calibri" w:hAnsi="Calibri"/>
                <w:sz w:val="22"/>
              </w:rPr>
              <w:t>Beat</w:t>
            </w:r>
          </w:p>
        </w:tc>
      </w:tr>
    </w:tbl>
    <w:p>
      <w:r>
        <w:rPr>
          <w:rFonts w:ascii="Calibri" w:hAnsi="Calibri"/>
          <w:i/>
          <w:color w:val="525866"/>
          <w:sz w:val="22"/>
        </w:rPr>
        <w:t>* Q2 2024 figures estimated from public disclosures; not in VA dataset window. Source: Visible Alpha Consensus and Actuals Data.</w:t>
      </w:r>
    </w:p>
    <w:p>
      <w:r>
        <w:rPr>
          <w:rFonts w:ascii="Calibri" w:hAnsi="Calibri"/>
          <w:b/>
          <w:color w:val="525866"/>
          <w:sz w:val="22"/>
        </w:rPr>
        <w:t xml:space="preserve">Pattern: </w:t>
      </w:r>
      <w:r>
        <w:rPr>
          <w:rFonts w:ascii="Calibri" w:hAnsi="Calibri"/>
          <w:color w:val="525866"/>
          <w:sz w:val="22"/>
        </w:rPr>
        <w:t>CVNA has beaten on retail units in every quarter shown and beaten on Adjusted EBITDA in 7 of the last 8 quarters (the lone miss in Q4 2025 was driven by reconditioning cost overruns that management subsequently resolved). The beat magnitude on EBITDA has been compressing as the bar rises, suggesting Q2 2026 upside may be more modest than prior quarters unless GPU surprises to the upside.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 the baseline remains the April 29 call. Management tone was highly confident, and no post-earnings 8-K or conference update has changed the numbers. The new-vehicle/dealership strategy (Stellantis franchises, Slate Auto warrant) is the one area where tone has evolved but no formal guidance has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Retail Units Sold</w:t>
            </w:r>
          </w:p>
        </w:tc>
        <w:tc>
          <w:tcPr>
            <w:tcW w:type="dxa" w:w="1728"/>
          </w:tcPr>
          <w:p>
            <w:r>
              <w:rPr>
                <w:rFonts w:ascii="Calibri" w:hAnsi="Calibri"/>
                <w:sz w:val="22"/>
              </w:rPr>
              <w:t>Sequential all-time record (&gt;187,393 units)</w:t>
            </w:r>
          </w:p>
        </w:tc>
        <w:tc>
          <w:tcPr>
            <w:tcW w:type="dxa" w:w="1728"/>
          </w:tcPr>
          <w:p>
            <w:r>
              <w:rPr>
                <w:rFonts w:ascii="Calibri" w:hAnsi="Calibri"/>
                <w:sz w:val="22"/>
              </w:rPr>
              <w:t>—</w:t>
            </w:r>
          </w:p>
        </w:tc>
        <w:tc>
          <w:tcPr>
            <w:tcW w:type="dxa" w:w="1728"/>
          </w:tcPr>
          <w:p>
            <w:r>
              <w:rPr>
                <w:rFonts w:ascii="Calibri" w:hAnsi="Calibri"/>
                <w:sz w:val="22"/>
              </w:rPr>
              <w:t>195,633 units</w:t>
            </w:r>
          </w:p>
        </w:tc>
        <w:tc>
          <w:tcPr>
            <w:tcW w:type="dxa" w:w="1728"/>
          </w:tcPr>
          <w:p>
            <w:r>
              <w:rPr>
                <w:rFonts w:ascii="Calibri" w:hAnsi="Calibri"/>
                <w:sz w:val="22"/>
              </w:rPr>
              <w:t>No post-earnings revision; consensus anchored to guidance floor</w:t>
            </w:r>
          </w:p>
        </w:tc>
      </w:tr>
      <w:tr>
        <w:tc>
          <w:tcPr>
            <w:tcW w:type="dxa" w:w="1728"/>
          </w:tcPr>
          <w:p>
            <w:r>
              <w:rPr>
                <w:rFonts w:ascii="Calibri" w:hAnsi="Calibri"/>
                <w:sz w:val="22"/>
              </w:rPr>
              <w:t>Q2 2026 Adjusted EBITDA</w:t>
            </w:r>
          </w:p>
        </w:tc>
        <w:tc>
          <w:tcPr>
            <w:tcW w:type="dxa" w:w="1728"/>
          </w:tcPr>
          <w:p>
            <w:r>
              <w:rPr>
                <w:rFonts w:ascii="Calibri" w:hAnsi="Calibri"/>
                <w:sz w:val="22"/>
              </w:rPr>
              <w:t>Sequential all-time record (&gt;$672M)</w:t>
            </w:r>
          </w:p>
        </w:tc>
        <w:tc>
          <w:tcPr>
            <w:tcW w:type="dxa" w:w="1728"/>
          </w:tcPr>
          <w:p>
            <w:r>
              <w:rPr>
                <w:rFonts w:ascii="Calibri" w:hAnsi="Calibri"/>
                <w:sz w:val="22"/>
              </w:rPr>
              <w:t>—</w:t>
            </w:r>
          </w:p>
        </w:tc>
        <w:tc>
          <w:tcPr>
            <w:tcW w:type="dxa" w:w="1728"/>
          </w:tcPr>
          <w:p>
            <w:r>
              <w:rPr>
                <w:rFonts w:ascii="Calibri" w:hAnsi="Calibri"/>
                <w:sz w:val="22"/>
              </w:rPr>
              <w:t>$761M</w:t>
            </w:r>
          </w:p>
        </w:tc>
        <w:tc>
          <w:tcPr>
            <w:tcW w:type="dxa" w:w="1728"/>
          </w:tcPr>
          <w:p>
            <w:r>
              <w:rPr>
                <w:rFonts w:ascii="Calibri" w:hAnsi="Calibri"/>
                <w:sz w:val="22"/>
              </w:rPr>
              <w:t>No post-earnings revision; consensus implies ~$89M sequential step-up</w:t>
            </w:r>
          </w:p>
        </w:tc>
      </w:tr>
      <w:tr>
        <w:tc>
          <w:tcPr>
            <w:tcW w:type="dxa" w:w="1728"/>
          </w:tcPr>
          <w:p>
            <w:r>
              <w:rPr>
                <w:rFonts w:ascii="Calibri" w:hAnsi="Calibri"/>
                <w:sz w:val="22"/>
              </w:rPr>
              <w:t>Q2 2026 Retail GPU</w:t>
            </w:r>
          </w:p>
        </w:tc>
        <w:tc>
          <w:tcPr>
            <w:tcW w:type="dxa" w:w="1728"/>
          </w:tcPr>
          <w:p>
            <w:r>
              <w:rPr>
                <w:rFonts w:ascii="Calibri" w:hAnsi="Calibri"/>
                <w:sz w:val="22"/>
              </w:rPr>
              <w:t>Sequential increase vs. Q1; YoY decrease (~$100–$300 headwind from tariffs + spread compression)</w:t>
            </w:r>
          </w:p>
        </w:tc>
        <w:tc>
          <w:tcPr>
            <w:tcW w:type="dxa" w:w="1728"/>
          </w:tcPr>
          <w:p>
            <w:r>
              <w:rPr>
                <w:rFonts w:ascii="Calibri" w:hAnsi="Calibri"/>
                <w:sz w:val="22"/>
              </w:rPr>
              <w:t>—</w:t>
            </w:r>
          </w:p>
        </w:tc>
        <w:tc>
          <w:tcPr>
            <w:tcW w:type="dxa" w:w="1728"/>
          </w:tcPr>
          <w:p>
            <w:r>
              <w:rPr>
                <w:rFonts w:ascii="Calibri" w:hAnsi="Calibri"/>
                <w:sz w:val="22"/>
              </w:rPr>
              <w:t>$7,030/unit</w:t>
            </w:r>
          </w:p>
        </w:tc>
        <w:tc>
          <w:tcPr>
            <w:tcW w:type="dxa" w:w="1728"/>
          </w:tcPr>
          <w:p>
            <w:r>
              <w:rPr>
                <w:rFonts w:ascii="Calibri" w:hAnsi="Calibri"/>
                <w:sz w:val="22"/>
              </w:rPr>
              <w:t>Consensus implies +$247 sequential improvement; YoY decline of ~$396 consistent with guidance</w:t>
            </w:r>
          </w:p>
        </w:tc>
      </w:tr>
      <w:tr>
        <w:tc>
          <w:tcPr>
            <w:tcW w:type="dxa" w:w="1728"/>
          </w:tcPr>
          <w:p>
            <w:r>
              <w:rPr>
                <w:rFonts w:ascii="Calibri" w:hAnsi="Calibri"/>
                <w:sz w:val="22"/>
              </w:rPr>
              <w:t>FY 2026 Retail Units &amp; Adj. EBITDA</w:t>
            </w:r>
          </w:p>
        </w:tc>
        <w:tc>
          <w:tcPr>
            <w:tcW w:type="dxa" w:w="1728"/>
          </w:tcPr>
          <w:p>
            <w:r>
              <w:rPr>
                <w:rFonts w:ascii="Calibri" w:hAnsi="Calibri"/>
                <w:sz w:val="22"/>
              </w:rPr>
              <w:t>"Significant growth" in both vs. FY 2025</w:t>
            </w:r>
          </w:p>
        </w:tc>
        <w:tc>
          <w:tcPr>
            <w:tcW w:type="dxa" w:w="1728"/>
          </w:tcPr>
          <w:p>
            <w:r>
              <w:rPr>
                <w:rFonts w:ascii="Calibri" w:hAnsi="Calibri"/>
                <w:sz w:val="22"/>
              </w:rPr>
              <w:t>—</w:t>
            </w:r>
          </w:p>
        </w:tc>
        <w:tc>
          <w:tcPr>
            <w:tcW w:type="dxa" w:w="1728"/>
          </w:tcPr>
          <w:p>
            <w:r>
              <w:rPr>
                <w:rFonts w:ascii="Calibri" w:hAnsi="Calibri"/>
                <w:sz w:val="22"/>
              </w:rPr>
              <w:t>797,169 units; $2.995B EBITDA</w:t>
            </w:r>
          </w:p>
        </w:tc>
        <w:tc>
          <w:tcPr>
            <w:tcW w:type="dxa" w:w="1728"/>
          </w:tcPr>
          <w:p>
            <w:r>
              <w:rPr>
                <w:rFonts w:ascii="Calibri" w:hAnsi="Calibri"/>
                <w:sz w:val="22"/>
              </w:rPr>
              <w:t>No revision; consensus tracking guidance direction</w:t>
            </w:r>
          </w:p>
        </w:tc>
      </w:tr>
      <w:tr>
        <w:tc>
          <w:tcPr>
            <w:tcW w:type="dxa" w:w="1728"/>
          </w:tcPr>
          <w:p>
            <w:r>
              <w:rPr>
                <w:rFonts w:ascii="Calibri" w:hAnsi="Calibri"/>
                <w:sz w:val="22"/>
              </w:rPr>
              <w:t>New Vehicle / Dealership Strategy</w:t>
            </w:r>
          </w:p>
        </w:tc>
        <w:tc>
          <w:tcPr>
            <w:tcW w:type="dxa" w:w="1728"/>
          </w:tcPr>
          <w:p>
            <w:r>
              <w:rPr>
                <w:rFonts w:ascii="Calibri" w:hAnsi="Calibri"/>
                <w:sz w:val="22"/>
              </w:rPr>
              <w:t>"Stay tuned" — no formal guidance issued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Tone evolved post-Q1: 7 Stellantis franchises acquired, Slate Auto warrant disclosed (June 2026); management has not quantified financial impact</w:t>
            </w:r>
          </w:p>
        </w:tc>
      </w:tr>
    </w:tbl>
    <w:p>
      <w:r>
        <w:rPr>
          <w:rFonts w:ascii="Calibri" w:hAnsi="Calibri"/>
          <w:b/>
          <w:color w:val="525866"/>
          <w:sz w:val="22"/>
        </w:rPr>
        <w:t xml:space="preserve">Note: </w:t>
      </w:r>
      <w:r>
        <w:rPr>
          <w:rFonts w:ascii="Calibri" w:hAnsi="Calibri"/>
          <w:color w:val="525866"/>
          <w:sz w:val="22"/>
        </w:rPr>
        <w:t>The Q4 2025 EBITDA miss ($511M vs. $538M consensus) was driven by reconditioning cost overruns. Management addressed this directly on the Q1 2026 call, declaring the issue resolved and citing April labor efficiency near all-time best. This context is important: the Q2 guidance was issued with full awareness of the Q4 stumble and represents management’s confident forward view, not a sandbagged number.</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retail units and EBITDA consensus have barely moved over the past 11 weeks, confirming the street is anchored to management’s guidance rather than building in incremental upside. The absence of revision momentum is a neutral signal; it means there is no estimate cushion being built, but also no deterioration.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May 8, 2026 (+5 Days Post Q1 Print)</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Retail Units (Q2 2026)</w:t>
            </w:r>
          </w:p>
        </w:tc>
        <w:tc>
          <w:tcPr>
            <w:tcW w:type="dxa" w:w="1080"/>
          </w:tcPr>
          <w:p>
            <w:r>
              <w:rPr>
                <w:rFonts w:ascii="Calibri" w:hAnsi="Calibri"/>
                <w:sz w:val="22"/>
              </w:rPr>
              <w:t>195,413</w:t>
            </w:r>
          </w:p>
        </w:tc>
        <w:tc>
          <w:tcPr>
            <w:tcW w:type="dxa" w:w="1080"/>
          </w:tcPr>
          <w:p>
            <w:r>
              <w:rPr>
                <w:rFonts w:ascii="Calibri" w:hAnsi="Calibri"/>
                <w:sz w:val="22"/>
              </w:rPr>
              <w:t>195,633</w:t>
            </w:r>
          </w:p>
        </w:tc>
        <w:tc>
          <w:tcPr>
            <w:tcW w:type="dxa" w:w="1080"/>
          </w:tcPr>
          <w:p>
            <w:r>
              <w:rPr>
                <w:rFonts w:ascii="Calibri" w:hAnsi="Calibri"/>
                <w:sz w:val="22"/>
              </w:rPr>
              <w:t>+0.1%</w:t>
            </w:r>
          </w:p>
        </w:tc>
        <w:tc>
          <w:tcPr>
            <w:tcW w:type="dxa" w:w="1080"/>
          </w:tcPr>
          <w:p>
            <w:r>
              <w:rPr>
                <w:rFonts w:ascii="Calibri" w:hAnsi="Calibri"/>
                <w:sz w:val="22"/>
              </w:rPr>
              <w:t>&gt;187,393 (seq. record)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+4.4% above floor</w:t>
            </w:r>
          </w:p>
        </w:tc>
      </w:tr>
      <w:tr>
        <w:tc>
          <w:tcPr>
            <w:tcW w:type="dxa" w:w="1080"/>
          </w:tcPr>
          <w:p>
            <w:r>
              <w:rPr>
                <w:rFonts w:ascii="Calibri" w:hAnsi="Calibri"/>
                <w:sz w:val="22"/>
              </w:rPr>
              <w:t>Adj. EBITDA (Q2 2026)</w:t>
            </w:r>
          </w:p>
        </w:tc>
        <w:tc>
          <w:tcPr>
            <w:tcW w:type="dxa" w:w="1080"/>
          </w:tcPr>
          <w:p>
            <w:r>
              <w:rPr>
                <w:rFonts w:ascii="Calibri" w:hAnsi="Calibri"/>
                <w:sz w:val="22"/>
              </w:rPr>
              <w:t>$763.8M</w:t>
            </w:r>
          </w:p>
        </w:tc>
        <w:tc>
          <w:tcPr>
            <w:tcW w:type="dxa" w:w="1080"/>
          </w:tcPr>
          <w:p>
            <w:r>
              <w:rPr>
                <w:rFonts w:ascii="Calibri" w:hAnsi="Calibri"/>
                <w:sz w:val="22"/>
              </w:rPr>
              <w:t>$760.9M</w:t>
            </w:r>
          </w:p>
        </w:tc>
        <w:tc>
          <w:tcPr>
            <w:tcW w:type="dxa" w:w="1080"/>
          </w:tcPr>
          <w:p>
            <w:r>
              <w:rPr>
                <w:rFonts w:ascii="Calibri" w:hAnsi="Calibri"/>
                <w:sz w:val="22"/>
              </w:rPr>
              <w:t>-0.4%</w:t>
            </w:r>
          </w:p>
        </w:tc>
        <w:tc>
          <w:tcPr>
            <w:tcW w:type="dxa" w:w="1080"/>
          </w:tcPr>
          <w:p>
            <w:r>
              <w:rPr>
                <w:rFonts w:ascii="Calibri" w:hAnsi="Calibri"/>
                <w:sz w:val="22"/>
              </w:rPr>
              <w:t>&gt;$672M (seq. record)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+13.2% above floor</w:t>
            </w:r>
          </w:p>
        </w:tc>
      </w:tr>
      <w:tr>
        <w:tc>
          <w:tcPr>
            <w:tcW w:type="dxa" w:w="1080"/>
          </w:tcPr>
          <w:p>
            <w:r>
              <w:rPr>
                <w:rFonts w:ascii="Calibri" w:hAnsi="Calibri"/>
                <w:sz w:val="22"/>
              </w:rPr>
              <w:t>EPS — Diluted Operating (Q2 2026)</w:t>
            </w:r>
          </w:p>
        </w:tc>
        <w:tc>
          <w:tcPr>
            <w:tcW w:type="dxa" w:w="1080"/>
          </w:tcPr>
          <w:p>
            <w:r>
              <w:rPr>
                <w:rFonts w:ascii="Calibri" w:hAnsi="Calibri"/>
                <w:sz w:val="22"/>
              </w:rPr>
              <w:t>$0.425</w:t>
            </w:r>
          </w:p>
        </w:tc>
        <w:tc>
          <w:tcPr>
            <w:tcW w:type="dxa" w:w="1080"/>
          </w:tcPr>
          <w:p>
            <w:r>
              <w:rPr>
                <w:rFonts w:ascii="Calibri" w:hAnsi="Calibri"/>
                <w:sz w:val="22"/>
              </w:rPr>
              <w:t>$0.420</w:t>
            </w:r>
          </w:p>
        </w:tc>
        <w:tc>
          <w:tcPr>
            <w:tcW w:type="dxa" w:w="1080"/>
          </w:tcPr>
          <w:p>
            <w:r>
              <w:rPr>
                <w:rFonts w:ascii="Calibri" w:hAnsi="Calibri"/>
                <w:sz w:val="22"/>
              </w:rPr>
              <w:t>-1.2%</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Retail Units (FY 2026)</w:t>
            </w:r>
          </w:p>
        </w:tc>
        <w:tc>
          <w:tcPr>
            <w:tcW w:type="dxa" w:w="1080"/>
          </w:tcPr>
          <w:p>
            <w:r>
              <w:rPr>
                <w:rFonts w:ascii="Calibri" w:hAnsi="Calibri"/>
                <w:sz w:val="22"/>
              </w:rPr>
              <w:t>795,867</w:t>
            </w:r>
          </w:p>
        </w:tc>
        <w:tc>
          <w:tcPr>
            <w:tcW w:type="dxa" w:w="1080"/>
          </w:tcPr>
          <w:p>
            <w:r>
              <w:rPr>
                <w:rFonts w:ascii="Calibri" w:hAnsi="Calibri"/>
                <w:sz w:val="22"/>
              </w:rPr>
              <w:t>797,169</w:t>
            </w:r>
          </w:p>
        </w:tc>
        <w:tc>
          <w:tcPr>
            <w:tcW w:type="dxa" w:w="1080"/>
          </w:tcPr>
          <w:p>
            <w:r>
              <w:rPr>
                <w:rFonts w:ascii="Calibri" w:hAnsi="Calibri"/>
                <w:sz w:val="22"/>
              </w:rPr>
              <w:t>+0.2%</w:t>
            </w:r>
          </w:p>
        </w:tc>
        <w:tc>
          <w:tcPr>
            <w:tcW w:type="dxa" w:w="1080"/>
          </w:tcPr>
          <w:p>
            <w:r>
              <w:rPr>
                <w:rFonts w:ascii="Calibri" w:hAnsi="Calibri"/>
                <w:sz w:val="22"/>
              </w:rPr>
              <w:t>Significant growth vs. FY 2025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direction</w:t>
            </w:r>
          </w:p>
        </w:tc>
      </w:tr>
      <w:tr>
        <w:tc>
          <w:tcPr>
            <w:tcW w:type="dxa" w:w="1080"/>
          </w:tcPr>
          <w:p>
            <w:r>
              <w:rPr>
                <w:rFonts w:ascii="Calibri" w:hAnsi="Calibri"/>
                <w:sz w:val="22"/>
              </w:rPr>
              <w:t>Adj. EBITDA (FY 2026)</w:t>
            </w:r>
          </w:p>
        </w:tc>
        <w:tc>
          <w:tcPr>
            <w:tcW w:type="dxa" w:w="1080"/>
          </w:tcPr>
          <w:p>
            <w:r>
              <w:rPr>
                <w:rFonts w:ascii="Calibri" w:hAnsi="Calibri"/>
                <w:sz w:val="22"/>
              </w:rPr>
              <w:t>$2,999.9M</w:t>
            </w:r>
          </w:p>
        </w:tc>
        <w:tc>
          <w:tcPr>
            <w:tcW w:type="dxa" w:w="1080"/>
          </w:tcPr>
          <w:p>
            <w:r>
              <w:rPr>
                <w:rFonts w:ascii="Calibri" w:hAnsi="Calibri"/>
                <w:sz w:val="22"/>
              </w:rPr>
              <w:t>$2,995.3M</w:t>
            </w:r>
          </w:p>
        </w:tc>
        <w:tc>
          <w:tcPr>
            <w:tcW w:type="dxa" w:w="1080"/>
          </w:tcPr>
          <w:p>
            <w:r>
              <w:rPr>
                <w:rFonts w:ascii="Calibri" w:hAnsi="Calibri"/>
                <w:sz w:val="22"/>
              </w:rPr>
              <w:t>-0.2%</w:t>
            </w:r>
          </w:p>
        </w:tc>
        <w:tc>
          <w:tcPr>
            <w:tcW w:type="dxa" w:w="1080"/>
          </w:tcPr>
          <w:p>
            <w:r>
              <w:rPr>
                <w:rFonts w:ascii="Calibri" w:hAnsi="Calibri"/>
                <w:sz w:val="22"/>
              </w:rPr>
              <w:t>Significant growth vs. FY 2025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direction</w:t>
            </w:r>
          </w:p>
        </w:tc>
      </w:tr>
      <w:tr>
        <w:tc>
          <w:tcPr>
            <w:tcW w:type="dxa" w:w="1080"/>
          </w:tcPr>
          <w:p>
            <w:r>
              <w:rPr>
                <w:rFonts w:ascii="Calibri" w:hAnsi="Calibri"/>
                <w:sz w:val="22"/>
              </w:rPr>
              <w:t>EPS — Diluted Operating (FY 2026)</w:t>
            </w:r>
          </w:p>
        </w:tc>
        <w:tc>
          <w:tcPr>
            <w:tcW w:type="dxa" w:w="1080"/>
          </w:tcPr>
          <w:p>
            <w:r>
              <w:rPr>
                <w:rFonts w:ascii="Calibri" w:hAnsi="Calibri"/>
                <w:sz w:val="22"/>
              </w:rPr>
              <w:t>$1.689</w:t>
            </w:r>
          </w:p>
        </w:tc>
        <w:tc>
          <w:tcPr>
            <w:tcW w:type="dxa" w:w="1080"/>
          </w:tcPr>
          <w:p>
            <w:r>
              <w:rPr>
                <w:rFonts w:ascii="Calibri" w:hAnsi="Calibri"/>
                <w:sz w:val="22"/>
              </w:rPr>
              <w:t>$1.679</w:t>
            </w:r>
          </w:p>
        </w:tc>
        <w:tc>
          <w:tcPr>
            <w:tcW w:type="dxa" w:w="1080"/>
          </w:tcPr>
          <w:p>
            <w:r>
              <w:rPr>
                <w:rFonts w:ascii="Calibri" w:hAnsi="Calibri"/>
                <w:sz w:val="22"/>
              </w:rPr>
              <w:t>-0.6%</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Baseline date of May 8, 2026 represents +5 trading days post Q1 2026 earnings (April 29, 2026).</w:t>
      </w:r>
    </w:p>
    <w:p>
      <w:r>
        <w:rPr>
          <w:rFonts w:ascii="Calibri" w:hAnsi="Calibri"/>
          <w:color w:val="525866"/>
          <w:sz w:val="22"/>
        </w:rPr>
        <w:t>The near-zero revision drift across all KPIs since the Q1 print is notable: the street has essentially locked in management’s guidance as the base case with no incremental upside or downside being priced in. This creates a binary setup — a beat on GPU or units drives upside; a GPU miss at the high end of the flagged headwind range ($200+) would be the primary downside scenario.</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CVNA has significantly underperformed since Q1 earnings, driven almost entirely by </w:t>
      </w:r>
      <w:r>
        <w:rPr>
          <w:rFonts w:ascii="Calibri" w:hAnsi="Calibri"/>
          <w:b/>
          <w:color w:val="525866"/>
          <w:sz w:val="22"/>
        </w:rPr>
        <w:t>multiple compression</w:t>
      </w:r>
      <w:r>
        <w:rPr>
          <w:rFonts w:ascii="Calibri" w:hAnsi="Calibri"/>
          <w:color w:val="525866"/>
          <w:sz w:val="22"/>
        </w:rPr>
        <w:t xml:space="preserve"> rather than estimate cuts — NTM EV/EBITDA contracted from ~20x to ~14x while estimates barely moved. The stock is down ~17% vs. the S&amp;P 500 (roughly flat) since April 29, creating a less demanding entry point heading into Q2.</w:t>
      </w:r>
    </w:p>
    <w:p>
      <w:pPr>
        <w:pStyle w:val="Heading3"/>
      </w:pPr>
      <w:r>
        <w:rPr>
          <w:rFonts w:ascii="Calibri" w:hAnsi="Calibri"/>
          <w:b/>
          <w:color w:val="3B4259"/>
          <w:sz w:val="24"/>
        </w:rPr>
        <w:t>CVNA vs. CARZ (Global X Autonomous &amp; Electric Vehicles ETF used as auto-sector proxy) vs. S&amp;P 500 — Since Q1 2026 Earnings (April 29, 2026)</w:t>
      </w:r>
    </w:p>
    <w:p>
      <w:r>
        <w:rPr>
          <w:rFonts w:ascii="Calibri" w:hAnsi="Calibri"/>
          <w:i/>
          <w:color w:val="525866"/>
          <w:sz w:val="22"/>
        </w:rPr>
        <w:t>Indexed to 100 at April 29, 2026 close. CARZ (Global X Autonomous &amp; Electric Vehicles ETF) used as the auto/mobility sector proxy.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CVNA (Indexed)</w:t>
            </w:r>
          </w:p>
        </w:tc>
        <w:tc>
          <w:tcPr>
            <w:tcW w:type="dxa" w:w="2160"/>
            <w:shd w:val="clear" w:color="auto" w:fill="3B4259"/>
          </w:tcPr>
          <w:p>
            <w:r>
              <w:rPr>
                <w:rFonts w:ascii="Calibri" w:hAnsi="Calibri"/>
                <w:b/>
                <w:color w:val="FFFFFF"/>
                <w:sz w:val="22"/>
              </w:rPr>
              <w:t>CARZ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8, 2026 (5-for-1 Split)</w:t>
            </w:r>
          </w:p>
        </w:tc>
        <w:tc>
          <w:tcPr>
            <w:tcW w:type="dxa" w:w="2160"/>
          </w:tcPr>
          <w:p>
            <w:r>
              <w:rPr>
                <w:rFonts w:ascii="Calibri" w:hAnsi="Calibri"/>
                <w:sz w:val="22"/>
              </w:rPr>
              <w:t>98.3</w:t>
            </w:r>
          </w:p>
        </w:tc>
        <w:tc>
          <w:tcPr>
            <w:tcW w:type="dxa" w:w="2160"/>
          </w:tcPr>
          <w:p>
            <w:r>
              <w:rPr>
                <w:rFonts w:ascii="Calibri" w:hAnsi="Calibri"/>
                <w:sz w:val="22"/>
              </w:rPr>
              <w:t>113.4</w:t>
            </w:r>
          </w:p>
        </w:tc>
        <w:tc>
          <w:tcPr>
            <w:tcW w:type="dxa" w:w="2160"/>
          </w:tcPr>
          <w:p>
            <w:r>
              <w:rPr>
                <w:rFonts w:ascii="Calibri" w:hAnsi="Calibri"/>
                <w:sz w:val="22"/>
              </w:rPr>
              <w:t>103.7</w:t>
            </w:r>
          </w:p>
        </w:tc>
      </w:tr>
      <w:tr>
        <w:tc>
          <w:tcPr>
            <w:tcW w:type="dxa" w:w="2160"/>
          </w:tcPr>
          <w:p>
            <w:r>
              <w:rPr>
                <w:rFonts w:ascii="Calibri" w:hAnsi="Calibri"/>
                <w:sz w:val="22"/>
              </w:rPr>
              <w:t>May 29, 2026</w:t>
            </w:r>
          </w:p>
        </w:tc>
        <w:tc>
          <w:tcPr>
            <w:tcW w:type="dxa" w:w="2160"/>
          </w:tcPr>
          <w:p>
            <w:r>
              <w:rPr>
                <w:rFonts w:ascii="Calibri" w:hAnsi="Calibri"/>
                <w:sz w:val="22"/>
              </w:rPr>
              <w:t>92.0</w:t>
            </w:r>
          </w:p>
        </w:tc>
        <w:tc>
          <w:tcPr>
            <w:tcW w:type="dxa" w:w="2160"/>
          </w:tcPr>
          <w:p>
            <w:r>
              <w:rPr>
                <w:rFonts w:ascii="Calibri" w:hAnsi="Calibri"/>
                <w:sz w:val="22"/>
              </w:rPr>
              <w:t>119.0</w:t>
            </w:r>
          </w:p>
        </w:tc>
        <w:tc>
          <w:tcPr>
            <w:tcW w:type="dxa" w:w="2160"/>
          </w:tcPr>
          <w:p>
            <w:r>
              <w:rPr>
                <w:rFonts w:ascii="Calibri" w:hAnsi="Calibri"/>
                <w:sz w:val="22"/>
              </w:rPr>
              <w:t>106.3</w:t>
            </w:r>
          </w:p>
        </w:tc>
      </w:tr>
      <w:tr>
        <w:tc>
          <w:tcPr>
            <w:tcW w:type="dxa" w:w="2160"/>
          </w:tcPr>
          <w:p>
            <w:r>
              <w:rPr>
                <w:rFonts w:ascii="Calibri" w:hAnsi="Calibri"/>
                <w:sz w:val="22"/>
              </w:rPr>
              <w:t>Jun 17, 2026 (KMX Earnings)</w:t>
            </w:r>
          </w:p>
        </w:tc>
        <w:tc>
          <w:tcPr>
            <w:tcW w:type="dxa" w:w="2160"/>
          </w:tcPr>
          <w:p>
            <w:r>
              <w:rPr>
                <w:rFonts w:ascii="Calibri" w:hAnsi="Calibri"/>
                <w:sz w:val="22"/>
              </w:rPr>
              <w:t>79.3</w:t>
            </w:r>
          </w:p>
        </w:tc>
        <w:tc>
          <w:tcPr>
            <w:tcW w:type="dxa" w:w="2160"/>
          </w:tcPr>
          <w:p>
            <w:r>
              <w:rPr>
                <w:rFonts w:ascii="Calibri" w:hAnsi="Calibri"/>
                <w:sz w:val="22"/>
              </w:rPr>
              <w:t>115.2</w:t>
            </w:r>
          </w:p>
        </w:tc>
        <w:tc>
          <w:tcPr>
            <w:tcW w:type="dxa" w:w="2160"/>
          </w:tcPr>
          <w:p>
            <w:r>
              <w:rPr>
                <w:rFonts w:ascii="Calibri" w:hAnsi="Calibri"/>
                <w:sz w:val="22"/>
              </w:rPr>
              <w:t>104.1</w:t>
            </w:r>
          </w:p>
        </w:tc>
      </w:tr>
      <w:tr>
        <w:tc>
          <w:tcPr>
            <w:tcW w:type="dxa" w:w="2160"/>
          </w:tcPr>
          <w:p>
            <w:r>
              <w:rPr>
                <w:rFonts w:ascii="Calibri" w:hAnsi="Calibri"/>
                <w:sz w:val="22"/>
              </w:rPr>
              <w:t>Jun 30, 2026</w:t>
            </w:r>
          </w:p>
        </w:tc>
        <w:tc>
          <w:tcPr>
            <w:tcW w:type="dxa" w:w="2160"/>
          </w:tcPr>
          <w:p>
            <w:r>
              <w:rPr>
                <w:rFonts w:ascii="Calibri" w:hAnsi="Calibri"/>
                <w:sz w:val="22"/>
              </w:rPr>
              <w:t>83.0</w:t>
            </w:r>
          </w:p>
        </w:tc>
        <w:tc>
          <w:tcPr>
            <w:tcW w:type="dxa" w:w="2160"/>
          </w:tcPr>
          <w:p>
            <w:r>
              <w:rPr>
                <w:rFonts w:ascii="Calibri" w:hAnsi="Calibri"/>
                <w:sz w:val="22"/>
              </w:rPr>
              <w:t>118.3</w:t>
            </w:r>
          </w:p>
        </w:tc>
        <w:tc>
          <w:tcPr>
            <w:tcW w:type="dxa" w:w="2160"/>
          </w:tcPr>
          <w:p>
            <w:r>
              <w:rPr>
                <w:rFonts w:ascii="Calibri" w:hAnsi="Calibri"/>
                <w:sz w:val="22"/>
              </w:rPr>
              <w:t>104.9</w:t>
            </w:r>
          </w:p>
        </w:tc>
      </w:tr>
      <w:tr>
        <w:tc>
          <w:tcPr>
            <w:tcW w:type="dxa" w:w="2160"/>
          </w:tcPr>
          <w:p>
            <w:r>
              <w:rPr>
                <w:rFonts w:ascii="Calibri" w:hAnsi="Calibri"/>
                <w:sz w:val="22"/>
              </w:rPr>
              <w:t>Jul 21, 2026 (GM Earnings)</w:t>
            </w:r>
          </w:p>
        </w:tc>
        <w:tc>
          <w:tcPr>
            <w:tcW w:type="dxa" w:w="2160"/>
          </w:tcPr>
          <w:p>
            <w:r>
              <w:rPr>
                <w:rFonts w:ascii="Calibri" w:hAnsi="Calibri"/>
                <w:sz w:val="22"/>
              </w:rPr>
              <w:t>82.7</w:t>
            </w:r>
          </w:p>
        </w:tc>
        <w:tc>
          <w:tcPr>
            <w:tcW w:type="dxa" w:w="2160"/>
          </w:tcPr>
          <w:p>
            <w:r>
              <w:rPr>
                <w:rFonts w:ascii="Calibri" w:hAnsi="Calibri"/>
                <w:sz w:val="22"/>
              </w:rPr>
              <w:t>106.4</w:t>
            </w:r>
          </w:p>
        </w:tc>
        <w:tc>
          <w:tcPr>
            <w:tcW w:type="dxa" w:w="2160"/>
          </w:tcPr>
          <w:p>
            <w:r>
              <w:rPr>
                <w:rFonts w:ascii="Calibri" w:hAnsi="Calibri"/>
                <w:sz w:val="22"/>
              </w:rPr>
              <w:t>105.1</w:t>
            </w:r>
          </w:p>
        </w:tc>
      </w:tr>
      <w:tr>
        <w:tc>
          <w:tcPr>
            <w:tcW w:type="dxa" w:w="2160"/>
          </w:tcPr>
          <w:p>
            <w:r>
              <w:rPr>
                <w:rFonts w:ascii="Calibri" w:hAnsi="Calibri"/>
                <w:sz w:val="22"/>
              </w:rPr>
              <w:t>Jul 28, 2026 (Preview Date)</w:t>
            </w:r>
          </w:p>
        </w:tc>
        <w:tc>
          <w:tcPr>
            <w:tcW w:type="dxa" w:w="2160"/>
          </w:tcPr>
          <w:p>
            <w:r>
              <w:rPr>
                <w:rFonts w:ascii="Calibri" w:hAnsi="Calibri"/>
                <w:b/>
                <w:color w:val="E5484D"/>
                <w:sz w:val="22"/>
              </w:rPr>
              <w:t>80.8</w:t>
            </w:r>
          </w:p>
        </w:tc>
        <w:tc>
          <w:tcPr>
            <w:tcW w:type="dxa" w:w="2160"/>
          </w:tcPr>
          <w:p>
            <w:r>
              <w:rPr>
                <w:rFonts w:ascii="Calibri" w:hAnsi="Calibri"/>
                <w:sz w:val="22"/>
              </w:rPr>
              <w:t>101.0</w:t>
            </w:r>
          </w:p>
        </w:tc>
        <w:tc>
          <w:tcPr>
            <w:tcW w:type="dxa" w:w="2160"/>
          </w:tcPr>
          <w:p>
            <w:r>
              <w:rPr>
                <w:rFonts w:ascii="Calibri" w:hAnsi="Calibri"/>
                <w:sz w:val="22"/>
              </w:rPr>
              <w:t>103.9</w:t>
            </w:r>
          </w:p>
        </w:tc>
      </w:tr>
    </w:tbl>
    <w:p>
      <w:r>
        <w:rPr>
          <w:rFonts w:ascii="Calibri" w:hAnsi="Calibri"/>
          <w:i/>
          <w:color w:val="525866"/>
          <w:sz w:val="22"/>
        </w:rPr>
        <w:t>Source: Yahoo Finance / Stock Price Data. Indexed to 100 at April 29, 2026 close (CVNA: $79.32, CARZ: $100.18, SPY: $711.58).</w:t>
      </w:r>
    </w:p>
    <w:p>
      <w:r>
        <w:rPr>
          <w:rFonts w:ascii="Calibri" w:hAnsi="Calibri"/>
          <w:b/>
          <w:color w:val="525866"/>
          <w:sz w:val="22"/>
        </w:rPr>
        <w:t xml:space="preserve">Performance Summary: </w:t>
      </w:r>
      <w:r>
        <w:rPr>
          <w:rFonts w:ascii="Calibri" w:hAnsi="Calibri"/>
          <w:color w:val="525866"/>
          <w:sz w:val="22"/>
        </w:rPr>
        <w:t xml:space="preserve">Since Q1 earnings, CVNA is down approximately </w:t>
      </w:r>
      <w:r>
        <w:rPr>
          <w:rFonts w:ascii="Calibri" w:hAnsi="Calibri"/>
          <w:b/>
          <w:color w:val="525866"/>
          <w:sz w:val="22"/>
        </w:rPr>
        <w:t>-19.2%</w:t>
      </w:r>
      <w:r>
        <w:rPr>
          <w:rFonts w:ascii="Calibri" w:hAnsi="Calibri"/>
          <w:color w:val="525866"/>
          <w:sz w:val="22"/>
        </w:rPr>
        <w:t xml:space="preserve"> in absolute terms (from $79.32 to $64.04 as of July 27), vs. SPY +3.9% and CARZ +0.8%. The stock’s underperformance is almost entirely a multiple story: NTM EV/EBITDA compressed from ~20x to ~14x while consensus estimates barely moved. The stock peaked near $80 in early May around the 5-for-1 stock split announcement, then sold off steadily through June and July. Key events: the KMX earnings on June 17 (used car market read-through) coincided with a leg lower for CVNA; the GM Q2 beat on July 21 provided no meaningful lift. The stock is now trading at its lowest level since August 2025, creating a more attractive risk/reward setup heading into Q2 results.</w:t>
      </w:r>
    </w:p>
    <w:p>
      <w:r>
        <w:br w:type="page"/>
      </w:r>
    </w:p>
    <w:p>
      <w:pPr>
        <w:pStyle w:val="Heading2"/>
      </w:pPr>
      <w:r>
        <w:rPr>
          <w:rFonts w:ascii="Calibri" w:hAnsi="Calibri"/>
          <w:b/>
          <w:color w:val="3B4259"/>
          <w:sz w:val="28"/>
        </w:rPr>
        <w:t>6. Peer Commentary &amp; Current-Quarter Read-Through</w:t>
      </w:r>
    </w:p>
    <w:p>
      <w:r>
        <w:rPr>
          <w:rFonts w:ascii="Calibri" w:hAnsi="Calibri"/>
          <w:b/>
          <w:color w:val="525866"/>
          <w:sz w:val="22"/>
        </w:rPr>
        <w:t xml:space="preserve">Scope Note: </w:t>
      </w:r>
      <w:r>
        <w:rPr>
          <w:rFonts w:ascii="Calibri" w:hAnsi="Calibri"/>
          <w:color w:val="525866"/>
          <w:sz w:val="22"/>
        </w:rPr>
        <w:t xml:space="preserve">This section includes only commentary dated May 29 – July 28, 2026 that addresses the then-current Q2 2026 period or forward outlook. Retrospective commentary about prior-quarter results (e.g., Q1 2025 results discussed on Q1 2025 earnings calls) is excluded. Each item is labeled </w:t>
      </w:r>
      <w:r>
        <w:rPr>
          <w:rFonts w:ascii="Calibri" w:hAnsi="Calibri"/>
          <w:b/>
          <w:color w:val="525866"/>
          <w:sz w:val="22"/>
        </w:rPr>
        <w:t>Direct</w:t>
      </w:r>
      <w:r>
        <w:rPr>
          <w:rFonts w:ascii="Calibri" w:hAnsi="Calibri"/>
          <w:color w:val="525866"/>
          <w:sz w:val="22"/>
        </w:rPr>
        <w:t xml:space="preserve"> (explicitly about used vehicle market conditions, pricing, or consumer demand relevant to CVNA’s Q2) or </w:t>
      </w:r>
      <w:r>
        <w:rPr>
          <w:rFonts w:ascii="Calibri" w:hAnsi="Calibri"/>
          <w:b/>
          <w:color w:val="525866"/>
          <w:sz w:val="22"/>
        </w:rPr>
        <w:t>Indirect</w:t>
      </w:r>
      <w:r>
        <w:rPr>
          <w:rFonts w:ascii="Calibri" w:hAnsi="Calibri"/>
          <w:color w:val="525866"/>
          <w:sz w:val="22"/>
        </w:rPr>
        <w:t xml:space="preserve"> (broader automotive market signals that inform the operating environment).</w:t>
      </w:r>
    </w:p>
    <w:p>
      <w:r>
        <w:rPr>
          <w:rFonts w:ascii="Calibri" w:hAnsi="Calibri"/>
          <w:b/>
          <w:color w:val="525866"/>
          <w:sz w:val="22"/>
        </w:rPr>
        <w:t xml:space="preserve">Key Takeaway: </w:t>
      </w:r>
      <w:r>
        <w:rPr>
          <w:rFonts w:ascii="Calibri" w:hAnsi="Calibri"/>
          <w:color w:val="525866"/>
          <w:sz w:val="22"/>
        </w:rPr>
        <w:t>Peer commentary is broadly constructive for CVNA’s Q2 setup. CarMax (KMX) declared the business has “turned the corner” and expects sustained market share gains, while GM and Ford both raised full-year guidance on strong truck demand and disciplined pricing. The one cautionary signal is CarMax’s acknowledgment that GPU concessions are needed to support sales growth — consistent with CVNA’s own flagged retail GPU headwinds.</w:t>
      </w:r>
    </w:p>
    <w:p>
      <w:pPr>
        <w:pStyle w:val="Heading3"/>
      </w:pPr>
      <w:r>
        <w:rPr>
          <w:rFonts w:ascii="Calibri" w:hAnsi="Calibri"/>
          <w:b/>
          <w:color w:val="3B4259"/>
          <w:sz w:val="24"/>
        </w:rPr>
        <w:t>CarMax (KMX) — Q1 FY2027 Earnings Call (June 17, 2026)</w:t>
      </w:r>
    </w:p>
    <w:p>
      <w:r>
        <w:rPr>
          <w:rFonts w:ascii="Calibri" w:hAnsi="Calibri"/>
          <w:i/>
          <w:color w:val="525866"/>
          <w:sz w:val="22"/>
        </w:rPr>
        <w:t>Reporting period: KMX fiscal Q1 2027 (March–May 2026). Forward commentary addresses KMX fiscal Q2 2027 (June–August 2026), which overlaps with CVNA’s Q2 2026 calendar quarter.</w:t>
      </w:r>
    </w:p>
    <w:p>
      <w:pPr>
        <w:pStyle w:val="ListBullet"/>
        <w:ind w:left="360" w:hanging="360"/>
      </w:pPr>
      <w:r>
        <w:rPr>
          <w:rFonts w:ascii="Calibri" w:hAnsi="Calibri"/>
          <w:b/>
          <w:color w:val="525866"/>
          <w:sz w:val="22"/>
        </w:rPr>
        <w:t xml:space="preserve">[DIRECT] Used vehicle demand improving; market share gains sustainable. </w:t>
      </w:r>
      <w:r>
        <w:rPr>
          <w:rFonts w:ascii="Calibri" w:hAnsi="Calibri"/>
          <w:color w:val="525866"/>
          <w:sz w:val="22"/>
        </w:rPr>
        <w:t xml:space="preserve">CEO Keith Barr stated the business has “definitely turned the corner” and is “very focused on the fact that this business should continue to grow market share on a sustainable basis going forward.” He added that “having the right car at the right price is definitely having a positive impact on our comp sales, and we expect that to continue throughout the remainder of the year.” </w:t>
      </w:r>
      <w:r>
        <w:rPr>
          <w:rFonts w:ascii="Calibri" w:hAnsi="Calibri"/>
          <w:color w:val="525866"/>
          <w:sz w:val="22"/>
        </w:rPr>
        <w:t>Read-through: Improving used vehicle demand environment supports CVNA’s Q2 unit guidance.</w:t>
      </w:r>
    </w:p>
    <w:p>
      <w:pPr>
        <w:pStyle w:val="ListBullet"/>
        <w:ind w:left="360" w:hanging="360"/>
      </w:pPr>
      <w:r>
        <w:rPr>
          <w:rFonts w:ascii="Calibri" w:hAnsi="Calibri"/>
          <w:b/>
          <w:color w:val="525866"/>
          <w:sz w:val="22"/>
        </w:rPr>
        <w:t xml:space="preserve">[DIRECT] GPU concessions required to support sales growth. </w:t>
      </w:r>
      <w:r>
        <w:rPr>
          <w:rFonts w:ascii="Calibri" w:hAnsi="Calibri"/>
          <w:color w:val="525866"/>
          <w:sz w:val="22"/>
        </w:rPr>
        <w:t xml:space="preserve">CFO Enrique Miyamura stated “this year requires some margin concessions to support sales growth,” with KMX standing behind a ~$200 GPU reduction for the full year. Long-term goal is to “self-fund strong competitive positioning through more efficient operations rather than lowering GPU.” </w:t>
      </w:r>
      <w:r>
        <w:rPr>
          <w:rFonts w:ascii="Calibri" w:hAnsi="Calibri"/>
          <w:color w:val="525866"/>
          <w:sz w:val="22"/>
        </w:rPr>
        <w:t>Read-through: Validates CVNA’s flagged retail GPU headwinds; competitive pricing pressure is industry-wide, not CVNA-specific.</w:t>
      </w:r>
    </w:p>
    <w:p>
      <w:pPr>
        <w:pStyle w:val="ListBullet"/>
        <w:ind w:left="360" w:hanging="360"/>
      </w:pPr>
      <w:r>
        <w:rPr>
          <w:rFonts w:ascii="Calibri" w:hAnsi="Calibri"/>
          <w:b/>
          <w:color w:val="525866"/>
          <w:sz w:val="22"/>
        </w:rPr>
        <w:t xml:space="preserve">[DIRECT] Pricing algorithms becoming more dynamic. </w:t>
      </w:r>
      <w:r>
        <w:rPr>
          <w:rFonts w:ascii="Calibri" w:hAnsi="Calibri"/>
          <w:color w:val="525866"/>
          <w:sz w:val="22"/>
        </w:rPr>
        <w:t xml:space="preserve">KMX is “incorporating competitive market insights within our pricing algorithms” with “a stronger emphasis on local data points” and “expanding comparison points across a broader set of vehicles to sharpen our individual unit pricing.” </w:t>
      </w:r>
      <w:r>
        <w:rPr>
          <w:rFonts w:ascii="Calibri" w:hAnsi="Calibri"/>
          <w:color w:val="525866"/>
          <w:sz w:val="22"/>
        </w:rPr>
        <w:t>Read-through: Intensifying competitive pricing discipline in the used car market; CVNA will need to maintain its own pricing agility.</w:t>
      </w:r>
    </w:p>
    <w:p>
      <w:pPr>
        <w:pStyle w:val="ListBullet"/>
        <w:ind w:left="360" w:hanging="360"/>
      </w:pPr>
      <w:r>
        <w:rPr>
          <w:rFonts w:ascii="Calibri" w:hAnsi="Calibri"/>
          <w:b/>
          <w:color w:val="525866"/>
          <w:sz w:val="22"/>
        </w:rPr>
        <w:t xml:space="preserve">[DIRECT] Consumer credit: delinquencies elevated but manageable. </w:t>
      </w:r>
      <w:r>
        <w:rPr>
          <w:rFonts w:ascii="Calibri" w:hAnsi="Calibri"/>
          <w:color w:val="525866"/>
          <w:sz w:val="22"/>
        </w:rPr>
        <w:t xml:space="preserve">CAF head Jon Daniels noted “delinquency rates among credit cards, auto — all of that — is higher” but expressed confidence in KMX’s portfolio quality and reserving. CAF penetration expanded 150bps YoY to 43.3%, with Tier 2 growing from 10% to 25% of volume. </w:t>
      </w:r>
      <w:r>
        <w:rPr>
          <w:rFonts w:ascii="Calibri" w:hAnsi="Calibri"/>
          <w:color w:val="525866"/>
          <w:sz w:val="22"/>
        </w:rPr>
        <w:t>Read-through: Broader consumer credit stress is real but not deteriorating rapidly; CVNA’s finance/ancillary GPU could face modest pressure from similar dynamics.</w:t>
      </w:r>
    </w:p>
    <w:p>
      <w:pPr>
        <w:pStyle w:val="ListBullet"/>
        <w:ind w:left="360" w:hanging="360"/>
      </w:pPr>
      <w:r>
        <w:rPr>
          <w:rFonts w:ascii="Calibri" w:hAnsi="Calibri"/>
          <w:b/>
          <w:color w:val="525866"/>
          <w:sz w:val="22"/>
        </w:rPr>
        <w:t xml:space="preserve">[INDIRECT] Operational efficiency focus: $200M SG&amp;A reduction target by end of FY2027. </w:t>
      </w:r>
      <w:r>
        <w:rPr>
          <w:rFonts w:ascii="Calibri" w:hAnsi="Calibri"/>
          <w:color w:val="525866"/>
          <w:sz w:val="22"/>
        </w:rPr>
        <w:t xml:space="preserve">KMX is “on track to achieve our targeted SG&amp;A reductions of $200 million in exit rate savings by the end of fiscal year 2027,” including lower reconditioning costs through technology. </w:t>
      </w:r>
      <w:r>
        <w:rPr>
          <w:rFonts w:ascii="Calibri" w:hAnsi="Calibri"/>
          <w:color w:val="525866"/>
          <w:sz w:val="22"/>
        </w:rPr>
        <w:t>Read-through: Industry-wide cost discipline imperative; CVNA’s own SG&amp;A leverage story remains a key differentiator.</w:t>
      </w:r>
    </w:p>
    <w:p>
      <w:pPr>
        <w:pStyle w:val="Heading3"/>
      </w:pPr>
      <w:r>
        <w:rPr>
          <w:rFonts w:ascii="Calibri" w:hAnsi="Calibri"/>
          <w:b/>
          <w:color w:val="3B4259"/>
          <w:sz w:val="24"/>
        </w:rPr>
        <w:t>CarGurus (CARG) — Bank of America Global Technology Conference (June 2, 2026)</w:t>
      </w:r>
    </w:p>
    <w:p>
      <w:r>
        <w:rPr>
          <w:rFonts w:ascii="Calibri" w:hAnsi="Calibri"/>
          <w:i/>
          <w:color w:val="525866"/>
          <w:sz w:val="22"/>
        </w:rPr>
        <w:t>Commentary addresses current market conditions as of early June 2026, directly relevant to CVNA’s Q2 2026 operating environment.</w:t>
      </w:r>
    </w:p>
    <w:p>
      <w:pPr>
        <w:pStyle w:val="ListBullet"/>
        <w:ind w:left="360" w:hanging="360"/>
      </w:pPr>
      <w:r>
        <w:rPr>
          <w:rFonts w:ascii="Calibri" w:hAnsi="Calibri"/>
          <w:b/>
          <w:color w:val="525866"/>
          <w:sz w:val="22"/>
        </w:rPr>
        <w:t xml:space="preserve">[DIRECT] New car inventory building; affordability a consumer concern. </w:t>
      </w:r>
      <w:r>
        <w:rPr>
          <w:rFonts w:ascii="Calibri" w:hAnsi="Calibri"/>
          <w:color w:val="525866"/>
          <w:sz w:val="22"/>
        </w:rPr>
        <w:t xml:space="preserve">CEO Jason Trevisan noted “new car inventory is building up on dealers’ lots. New car affordability is an issue, is a concern with consumers and dealers are trying to find ways to move that inventory more.” </w:t>
      </w:r>
      <w:r>
        <w:rPr>
          <w:rFonts w:ascii="Calibri" w:hAnsi="Calibri"/>
          <w:color w:val="525866"/>
          <w:sz w:val="22"/>
        </w:rPr>
        <w:t>Read-through: New car affordability pressure is a structural tailwind for used vehicle demand (consumers trade down to used), but aggressive new car dealer incentives could create incremental competition for late-model used vehicles. Net effect for CVNA is likely modestly positive on unit volumes.</w:t>
      </w:r>
    </w:p>
    <w:p>
      <w:pPr>
        <w:pStyle w:val="Heading3"/>
      </w:pPr>
      <w:r>
        <w:rPr>
          <w:rFonts w:ascii="Calibri" w:hAnsi="Calibri"/>
          <w:b/>
          <w:color w:val="3B4259"/>
          <w:sz w:val="24"/>
        </w:rPr>
        <w:t>General Motors (GM) — Q2 2026 Earnings (July 21, 2026)</w:t>
      </w:r>
    </w:p>
    <w:p>
      <w:r>
        <w:rPr>
          <w:rFonts w:ascii="Calibri" w:hAnsi="Calibri"/>
          <w:i/>
          <w:color w:val="525866"/>
          <w:sz w:val="22"/>
        </w:rPr>
        <w:t>Q2 2026 results and forward commentary directly address the same calendar quarter as CVNA’s Q2 2026.</w:t>
      </w:r>
    </w:p>
    <w:p>
      <w:pPr>
        <w:pStyle w:val="ListBullet"/>
        <w:ind w:left="360" w:hanging="360"/>
      </w:pPr>
      <w:r>
        <w:rPr>
          <w:rFonts w:ascii="Calibri" w:hAnsi="Calibri"/>
          <w:b/>
          <w:color w:val="525866"/>
          <w:sz w:val="22"/>
        </w:rPr>
        <w:t xml:space="preserve">[INDIRECT] US vehicle demand stable; SAAR ~16M units. </w:t>
      </w:r>
      <w:r>
        <w:rPr>
          <w:rFonts w:ascii="Calibri" w:hAnsi="Calibri"/>
          <w:color w:val="525866"/>
          <w:sz w:val="22"/>
        </w:rPr>
        <w:t xml:space="preserve">GM reported Q2 2026 US industry sales of 4.31M units (vs. 4.29M in Q2 2025) and continues to assume a full-year US SAAR of “low 16 million unit range.” CEO Mary Barra stated: “We’re seeing really strong full size truck demand and full size utility, for that matter. We’re building everything that we can sell.” </w:t>
      </w:r>
      <w:r>
        <w:rPr>
          <w:rFonts w:ascii="Calibri" w:hAnsi="Calibri"/>
          <w:color w:val="525866"/>
          <w:sz w:val="22"/>
        </w:rPr>
        <w:t>Read-through: Stable-to-growing new vehicle demand supports a healthy overall automotive market, positive for used vehicle transaction volumes.</w:t>
      </w:r>
    </w:p>
    <w:p>
      <w:pPr>
        <w:pStyle w:val="ListBullet"/>
        <w:ind w:left="360" w:hanging="360"/>
      </w:pPr>
      <w:r>
        <w:rPr>
          <w:rFonts w:ascii="Calibri" w:hAnsi="Calibri"/>
          <w:b/>
          <w:color w:val="525866"/>
          <w:sz w:val="22"/>
        </w:rPr>
        <w:t xml:space="preserve">[INDIRECT] New vehicle inventory balanced; pricing discipline maintained. </w:t>
      </w:r>
      <w:r>
        <w:rPr>
          <w:rFonts w:ascii="Calibri" w:hAnsi="Calibri"/>
          <w:color w:val="525866"/>
          <w:sz w:val="22"/>
        </w:rPr>
        <w:t xml:space="preserve">US dealer inventory ended Q2 at 511,000 units (~55 days supply, within GM’s 50–60 day target). GM’s incentive spend remained “well below the industry average for more than three years,” with full-year North America pricing expected “up around half a percent.” </w:t>
      </w:r>
      <w:r>
        <w:rPr>
          <w:rFonts w:ascii="Calibri" w:hAnsi="Calibri"/>
          <w:color w:val="525866"/>
          <w:sz w:val="22"/>
        </w:rPr>
        <w:t>Read-through: Disciplined new car pricing limits downward pressure on used vehicle values — positive for CVNA’s retail GPU.</w:t>
      </w:r>
    </w:p>
    <w:p>
      <w:pPr>
        <w:pStyle w:val="ListBullet"/>
        <w:ind w:left="360" w:hanging="360"/>
      </w:pPr>
      <w:r>
        <w:rPr>
          <w:rFonts w:ascii="Calibri" w:hAnsi="Calibri"/>
          <w:b/>
          <w:color w:val="525866"/>
          <w:sz w:val="22"/>
        </w:rPr>
        <w:t xml:space="preserve">[INDIRECT] GM raised full-year guidance for the second time. </w:t>
      </w:r>
      <w:r>
        <w:rPr>
          <w:rFonts w:ascii="Calibri" w:hAnsi="Calibri"/>
          <w:color w:val="525866"/>
          <w:sz w:val="22"/>
        </w:rPr>
        <w:t xml:space="preserve">GM raised FY2026 EBIT-adjusted guidance to $14–16B (from $13.5–15.5B) and EPS-diluted-adjusted to $12–14 (from $11.50–13.50). </w:t>
      </w:r>
      <w:r>
        <w:rPr>
          <w:rFonts w:ascii="Calibri" w:hAnsi="Calibri"/>
          <w:color w:val="525866"/>
          <w:sz w:val="22"/>
        </w:rPr>
        <w:t>Read-through: Broad automotive sector health is improving; positive sentiment backdrop for CVNA’s print.</w:t>
      </w:r>
    </w:p>
    <w:p>
      <w:pPr>
        <w:pStyle w:val="ListBullet"/>
        <w:ind w:left="360" w:hanging="360"/>
      </w:pPr>
      <w:r>
        <w:rPr>
          <w:rFonts w:ascii="Calibri" w:hAnsi="Calibri"/>
          <w:b/>
          <w:color w:val="525866"/>
          <w:sz w:val="22"/>
        </w:rPr>
        <w:t xml:space="preserve">[INDIRECT] GM Financial EBT-adjusted declined 14% YoY to $605M. </w:t>
      </w:r>
      <w:r>
        <w:rPr>
          <w:rFonts w:ascii="Calibri" w:hAnsi="Calibri"/>
          <w:color w:val="525866"/>
          <w:sz w:val="22"/>
        </w:rPr>
        <w:t xml:space="preserve">GM Financial’s profitability declined year-over-year, potentially reflecting tightening credit conditions or higher funding costs. </w:t>
      </w:r>
      <w:r>
        <w:rPr>
          <w:rFonts w:ascii="Calibri" w:hAnsi="Calibri"/>
          <w:color w:val="525866"/>
          <w:sz w:val="22"/>
        </w:rPr>
        <w:t>Read-through: Modest cautionary signal for CVNA’s finance/ancillary GPU, which management already flagged as a headwind due to the decision to pass financing gains to customers via lower interest rates.</w:t>
      </w:r>
    </w:p>
    <w:p>
      <w:pPr>
        <w:pStyle w:val="Heading3"/>
      </w:pPr>
      <w:r>
        <w:rPr>
          <w:rFonts w:ascii="Calibri" w:hAnsi="Calibri"/>
          <w:b/>
          <w:color w:val="3B4259"/>
          <w:sz w:val="24"/>
        </w:rPr>
        <w:t>Ford Motor (F) — Q2 2026 Earnings (July 28, 2026)</w:t>
      </w:r>
    </w:p>
    <w:p>
      <w:r>
        <w:rPr>
          <w:rFonts w:ascii="Calibri" w:hAnsi="Calibri"/>
          <w:i/>
          <w:color w:val="525866"/>
          <w:sz w:val="22"/>
        </w:rPr>
        <w:t>Q2 2026 results and forward commentary directly address the same calendar quarter as CVNA’s Q2 2026.</w:t>
      </w:r>
    </w:p>
    <w:p>
      <w:pPr>
        <w:pStyle w:val="ListBullet"/>
        <w:ind w:left="360" w:hanging="360"/>
      </w:pPr>
      <w:r>
        <w:rPr>
          <w:rFonts w:ascii="Calibri" w:hAnsi="Calibri"/>
          <w:b/>
          <w:color w:val="525866"/>
          <w:sz w:val="22"/>
        </w:rPr>
        <w:t xml:space="preserve">[INDIRECT] US SAAR guidance maintained at 16.0–16.5M units; truck demand “really strong.” </w:t>
      </w:r>
      <w:r>
        <w:rPr>
          <w:rFonts w:ascii="Calibri" w:hAnsi="Calibri"/>
          <w:color w:val="525866"/>
          <w:sz w:val="22"/>
        </w:rPr>
        <w:t xml:space="preserve">Ford CEO Jim Farley stated “the overall truck demand right now across from Maverick all the way up to super duty is really strong” and “the demand continues to look really strong.” Full-year US industry net pricing expected “up about 0.5%.” </w:t>
      </w:r>
      <w:r>
        <w:rPr>
          <w:rFonts w:ascii="Calibri" w:hAnsi="Calibri"/>
          <w:color w:val="525866"/>
          <w:sz w:val="22"/>
        </w:rPr>
        <w:t>Read-through: Healthy new vehicle demand and stable pricing support used vehicle residual values, a positive for CVNA’s inventory economics.</w:t>
      </w:r>
    </w:p>
    <w:p>
      <w:pPr>
        <w:pStyle w:val="ListBullet"/>
        <w:ind w:left="360" w:hanging="360"/>
      </w:pPr>
      <w:r>
        <w:rPr>
          <w:rFonts w:ascii="Calibri" w:hAnsi="Calibri"/>
          <w:b/>
          <w:color w:val="525866"/>
          <w:sz w:val="22"/>
        </w:rPr>
        <w:t xml:space="preserve">[INDIRECT] Ford CPO sales up 20%+ YTD; now #2 CPO brand. </w:t>
      </w:r>
      <w:r>
        <w:rPr>
          <w:rFonts w:ascii="Calibri" w:hAnsi="Calibri"/>
          <w:color w:val="525866"/>
          <w:sz w:val="22"/>
        </w:rPr>
        <w:t xml:space="preserve">Ford’s certified pre-owned unit sales growth in the US is “over 20%” year-to-date, positioning Ford as the #2 CPO brand. Ford is executing a “multiyear certified pre-owned enterprise strategy, which ultimately protects our residual values.” </w:t>
      </w:r>
      <w:r>
        <w:rPr>
          <w:rFonts w:ascii="Calibri" w:hAnsi="Calibri"/>
          <w:color w:val="525866"/>
          <w:sz w:val="22"/>
        </w:rPr>
        <w:t>Read-through: Strong CPO market activity signals healthy used vehicle demand broadly; also indicates competitive dynamics in the late-model used segment where CVNA competes.</w:t>
      </w:r>
    </w:p>
    <w:p>
      <w:pPr>
        <w:pStyle w:val="ListBullet"/>
        <w:ind w:left="360" w:hanging="360"/>
      </w:pPr>
      <w:r>
        <w:rPr>
          <w:rFonts w:ascii="Calibri" w:hAnsi="Calibri"/>
          <w:b/>
          <w:color w:val="525866"/>
          <w:sz w:val="22"/>
        </w:rPr>
        <w:t xml:space="preserve">[INDIRECT] Ford Credit delivered solid Q2; EBT up $112M YoY to $757M. </w:t>
      </w:r>
      <w:r>
        <w:rPr>
          <w:rFonts w:ascii="Calibri" w:hAnsi="Calibri"/>
          <w:color w:val="525866"/>
          <w:sz w:val="22"/>
        </w:rPr>
        <w:t xml:space="preserve">Ford Credit reported “strong financing margin, a high-quality portfolio, and a disciplined approach to capital and risk management.” Full-year Ford Credit EBT now expected “above $2.5 billion.” </w:t>
      </w:r>
      <w:r>
        <w:rPr>
          <w:rFonts w:ascii="Calibri" w:hAnsi="Calibri"/>
          <w:color w:val="525866"/>
          <w:sz w:val="22"/>
        </w:rPr>
        <w:t>Read-through: Healthy auto finance environment supports consumer ability to finance used vehicle purchases — positive for CVNA’s unit volumes and finance attach rates.</w:t>
      </w:r>
    </w:p>
    <w:p>
      <w:pPr>
        <w:pStyle w:val="ListBullet"/>
        <w:ind w:left="360" w:hanging="360"/>
      </w:pPr>
      <w:r>
        <w:rPr>
          <w:rFonts w:ascii="Calibri" w:hAnsi="Calibri"/>
          <w:b/>
          <w:color w:val="525866"/>
          <w:sz w:val="22"/>
        </w:rPr>
        <w:t xml:space="preserve">[INDIRECT] Tariff impact: $1.3B Q1 benefit will not recur in 2027. </w:t>
      </w:r>
      <w:r>
        <w:rPr>
          <w:rFonts w:ascii="Calibri" w:hAnsi="Calibri"/>
          <w:color w:val="525866"/>
          <w:sz w:val="22"/>
        </w:rPr>
        <w:t xml:space="preserve">Ford flagged a “non-repeat of that tariff EBIT benefit” of $1.3B booked in Q1 2026. Tariffs remain an unquantified future risk. </w:t>
      </w:r>
      <w:r>
        <w:rPr>
          <w:rFonts w:ascii="Calibri" w:hAnsi="Calibri"/>
          <w:color w:val="525866"/>
          <w:sz w:val="22"/>
        </w:rPr>
        <w:t>Read-through: Consistent with CVNA’s own flagged ~$100 tariff-related YoY retail GPU headwind in Q2 2026 (benefit in Q2 2025 that does not recur).</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Type</w:t>
            </w:r>
          </w:p>
        </w:tc>
        <w:tc>
          <w:tcPr>
            <w:tcW w:type="dxa" w:w="1440"/>
            <w:shd w:val="clear" w:color="auto" w:fill="3B4259"/>
          </w:tcPr>
          <w:p>
            <w:r>
              <w:rPr>
                <w:rFonts w:ascii="Calibri" w:hAnsi="Calibri"/>
                <w:b/>
                <w:color w:val="FFFFFF"/>
                <w:sz w:val="22"/>
              </w:rPr>
              <w:t>Key Signal</w:t>
            </w:r>
          </w:p>
        </w:tc>
        <w:tc>
          <w:tcPr>
            <w:tcW w:type="dxa" w:w="1440"/>
            <w:shd w:val="clear" w:color="auto" w:fill="3B4259"/>
          </w:tcPr>
          <w:p>
            <w:r>
              <w:rPr>
                <w:rFonts w:ascii="Calibri" w:hAnsi="Calibri"/>
                <w:b/>
                <w:color w:val="FFFFFF"/>
                <w:sz w:val="22"/>
              </w:rPr>
              <w:t>CVNA Read-Through</w:t>
            </w:r>
          </w:p>
        </w:tc>
        <w:tc>
          <w:tcPr>
            <w:tcW w:type="dxa" w:w="1440"/>
            <w:shd w:val="clear" w:color="auto" w:fill="3B4259"/>
          </w:tcPr>
          <w:p>
            <w:r>
              <w:rPr>
                <w:rFonts w:ascii="Calibri" w:hAnsi="Calibri"/>
                <w:b/>
                <w:color w:val="FFFFFF"/>
                <w:sz w:val="22"/>
              </w:rPr>
              <w:t>Direction</w:t>
            </w:r>
          </w:p>
        </w:tc>
      </w:tr>
      <w:tr>
        <w:tc>
          <w:tcPr>
            <w:tcW w:type="dxa" w:w="1440"/>
          </w:tcPr>
          <w:p>
            <w:r>
              <w:rPr>
                <w:rFonts w:ascii="Calibri" w:hAnsi="Calibri"/>
                <w:sz w:val="22"/>
              </w:rPr>
              <w:t>KMX</w:t>
            </w:r>
          </w:p>
        </w:tc>
        <w:tc>
          <w:tcPr>
            <w:tcW w:type="dxa" w:w="1440"/>
          </w:tcPr>
          <w:p>
            <w:r>
              <w:rPr>
                <w:rFonts w:ascii="Calibri" w:hAnsi="Calibri"/>
                <w:sz w:val="22"/>
              </w:rPr>
              <w:t>Jun 17, 2026</w:t>
            </w:r>
          </w:p>
        </w:tc>
        <w:tc>
          <w:tcPr>
            <w:tcW w:type="dxa" w:w="1440"/>
          </w:tcPr>
          <w:p>
            <w:r>
              <w:rPr>
                <w:rFonts w:ascii="Calibri" w:hAnsi="Calibri"/>
                <w:sz w:val="22"/>
              </w:rPr>
              <w:t>Direct</w:t>
            </w:r>
          </w:p>
        </w:tc>
        <w:tc>
          <w:tcPr>
            <w:tcW w:type="dxa" w:w="1440"/>
          </w:tcPr>
          <w:p>
            <w:r>
              <w:rPr>
                <w:rFonts w:ascii="Calibri" w:hAnsi="Calibri"/>
                <w:sz w:val="22"/>
              </w:rPr>
              <w:t>"Turned the corner"; market share gains sustainable</w:t>
            </w:r>
          </w:p>
        </w:tc>
        <w:tc>
          <w:tcPr>
            <w:tcW w:type="dxa" w:w="1440"/>
          </w:tcPr>
          <w:p>
            <w:r>
              <w:rPr>
                <w:rFonts w:ascii="Calibri" w:hAnsi="Calibri"/>
                <w:sz w:val="22"/>
              </w:rPr>
              <w:t>Used vehicle demand improving; supports unit guidance</w:t>
            </w:r>
          </w:p>
        </w:tc>
        <w:tc>
          <w:tcPr>
            <w:tcW w:type="dxa" w:w="1440"/>
          </w:tcPr>
          <w:p>
            <w:r>
              <w:rPr>
                <w:rFonts w:ascii="Calibri" w:hAnsi="Calibri"/>
                <w:b/>
                <w:color w:val="30A46C"/>
                <w:sz w:val="22"/>
              </w:rPr>
              <w:t>↑ Positive</w:t>
            </w:r>
          </w:p>
        </w:tc>
      </w:tr>
      <w:tr>
        <w:tc>
          <w:tcPr>
            <w:tcW w:type="dxa" w:w="1440"/>
          </w:tcPr>
          <w:p>
            <w:r>
              <w:rPr>
                <w:rFonts w:ascii="Calibri" w:hAnsi="Calibri"/>
                <w:sz w:val="22"/>
              </w:rPr>
              <w:t>KMX</w:t>
            </w:r>
          </w:p>
        </w:tc>
        <w:tc>
          <w:tcPr>
            <w:tcW w:type="dxa" w:w="1440"/>
          </w:tcPr>
          <w:p>
            <w:r>
              <w:rPr>
                <w:rFonts w:ascii="Calibri" w:hAnsi="Calibri"/>
                <w:sz w:val="22"/>
              </w:rPr>
              <w:t>Jun 17, 2026</w:t>
            </w:r>
          </w:p>
        </w:tc>
        <w:tc>
          <w:tcPr>
            <w:tcW w:type="dxa" w:w="1440"/>
          </w:tcPr>
          <w:p>
            <w:r>
              <w:rPr>
                <w:rFonts w:ascii="Calibri" w:hAnsi="Calibri"/>
                <w:sz w:val="22"/>
              </w:rPr>
              <w:t>Direct</w:t>
            </w:r>
          </w:p>
        </w:tc>
        <w:tc>
          <w:tcPr>
            <w:tcW w:type="dxa" w:w="1440"/>
          </w:tcPr>
          <w:p>
            <w:r>
              <w:rPr>
                <w:rFonts w:ascii="Calibri" w:hAnsi="Calibri"/>
                <w:sz w:val="22"/>
              </w:rPr>
              <w:t>GPU concessions needed; ~$200 reduction guided for FY</w:t>
            </w:r>
          </w:p>
        </w:tc>
        <w:tc>
          <w:tcPr>
            <w:tcW w:type="dxa" w:w="1440"/>
          </w:tcPr>
          <w:p>
            <w:r>
              <w:rPr>
                <w:rFonts w:ascii="Calibri" w:hAnsi="Calibri"/>
                <w:sz w:val="22"/>
              </w:rPr>
              <w:t>Validates CVNA retail GPU headwinds; industry-wide, not idiosyncratic</w:t>
            </w:r>
          </w:p>
        </w:tc>
        <w:tc>
          <w:tcPr>
            <w:tcW w:type="dxa" w:w="1440"/>
          </w:tcPr>
          <w:p>
            <w:r>
              <w:rPr>
                <w:rFonts w:ascii="Calibri" w:hAnsi="Calibri"/>
                <w:i/>
                <w:sz w:val="22"/>
              </w:rPr>
              <w:t>→ Neutral</w:t>
            </w:r>
          </w:p>
        </w:tc>
      </w:tr>
      <w:tr>
        <w:tc>
          <w:tcPr>
            <w:tcW w:type="dxa" w:w="1440"/>
          </w:tcPr>
          <w:p>
            <w:r>
              <w:rPr>
                <w:rFonts w:ascii="Calibri" w:hAnsi="Calibri"/>
                <w:sz w:val="22"/>
              </w:rPr>
              <w:t>KMX</w:t>
            </w:r>
          </w:p>
        </w:tc>
        <w:tc>
          <w:tcPr>
            <w:tcW w:type="dxa" w:w="1440"/>
          </w:tcPr>
          <w:p>
            <w:r>
              <w:rPr>
                <w:rFonts w:ascii="Calibri" w:hAnsi="Calibri"/>
                <w:sz w:val="22"/>
              </w:rPr>
              <w:t>Jun 17, 2026</w:t>
            </w:r>
          </w:p>
        </w:tc>
        <w:tc>
          <w:tcPr>
            <w:tcW w:type="dxa" w:w="1440"/>
          </w:tcPr>
          <w:p>
            <w:r>
              <w:rPr>
                <w:rFonts w:ascii="Calibri" w:hAnsi="Calibri"/>
                <w:sz w:val="22"/>
              </w:rPr>
              <w:t>Direct</w:t>
            </w:r>
          </w:p>
        </w:tc>
        <w:tc>
          <w:tcPr>
            <w:tcW w:type="dxa" w:w="1440"/>
          </w:tcPr>
          <w:p>
            <w:r>
              <w:rPr>
                <w:rFonts w:ascii="Calibri" w:hAnsi="Calibri"/>
                <w:sz w:val="22"/>
              </w:rPr>
              <w:t>Auto delinquencies elevated; CAF Tier 2 growing</w:t>
            </w:r>
          </w:p>
        </w:tc>
        <w:tc>
          <w:tcPr>
            <w:tcW w:type="dxa" w:w="1440"/>
          </w:tcPr>
          <w:p>
            <w:r>
              <w:rPr>
                <w:rFonts w:ascii="Calibri" w:hAnsi="Calibri"/>
                <w:sz w:val="22"/>
              </w:rPr>
              <w:t>Modest pressure on finance GPU; manageable</w:t>
            </w:r>
          </w:p>
        </w:tc>
        <w:tc>
          <w:tcPr>
            <w:tcW w:type="dxa" w:w="1440"/>
          </w:tcPr>
          <w:p>
            <w:r>
              <w:rPr>
                <w:rFonts w:ascii="Calibri" w:hAnsi="Calibri"/>
                <w:b/>
                <w:color w:val="E5484D"/>
                <w:sz w:val="22"/>
              </w:rPr>
              <w:t>↓ Slight Caution</w:t>
            </w:r>
          </w:p>
        </w:tc>
      </w:tr>
      <w:tr>
        <w:tc>
          <w:tcPr>
            <w:tcW w:type="dxa" w:w="1440"/>
          </w:tcPr>
          <w:p>
            <w:r>
              <w:rPr>
                <w:rFonts w:ascii="Calibri" w:hAnsi="Calibri"/>
                <w:sz w:val="22"/>
              </w:rPr>
              <w:t>CARG</w:t>
            </w:r>
          </w:p>
        </w:tc>
        <w:tc>
          <w:tcPr>
            <w:tcW w:type="dxa" w:w="1440"/>
          </w:tcPr>
          <w:p>
            <w:r>
              <w:rPr>
                <w:rFonts w:ascii="Calibri" w:hAnsi="Calibri"/>
                <w:sz w:val="22"/>
              </w:rPr>
              <w:t>Jun 2, 2026</w:t>
            </w:r>
          </w:p>
        </w:tc>
        <w:tc>
          <w:tcPr>
            <w:tcW w:type="dxa" w:w="1440"/>
          </w:tcPr>
          <w:p>
            <w:r>
              <w:rPr>
                <w:rFonts w:ascii="Calibri" w:hAnsi="Calibri"/>
                <w:sz w:val="22"/>
              </w:rPr>
              <w:t>Direct</w:t>
            </w:r>
          </w:p>
        </w:tc>
        <w:tc>
          <w:tcPr>
            <w:tcW w:type="dxa" w:w="1440"/>
          </w:tcPr>
          <w:p>
            <w:r>
              <w:rPr>
                <w:rFonts w:ascii="Calibri" w:hAnsi="Calibri"/>
                <w:sz w:val="22"/>
              </w:rPr>
              <w:t>New car inventory building; affordability a concern</w:t>
            </w:r>
          </w:p>
        </w:tc>
        <w:tc>
          <w:tcPr>
            <w:tcW w:type="dxa" w:w="1440"/>
          </w:tcPr>
          <w:p>
            <w:r>
              <w:rPr>
                <w:rFonts w:ascii="Calibri" w:hAnsi="Calibri"/>
                <w:sz w:val="22"/>
              </w:rPr>
              <w:t>Structural tailwind for used demand; modest new car competition risk</w:t>
            </w:r>
          </w:p>
        </w:tc>
        <w:tc>
          <w:tcPr>
            <w:tcW w:type="dxa" w:w="1440"/>
          </w:tcPr>
          <w:p>
            <w:r>
              <w:rPr>
                <w:rFonts w:ascii="Calibri" w:hAnsi="Calibri"/>
                <w:b/>
                <w:color w:val="30A46C"/>
                <w:sz w:val="22"/>
              </w:rPr>
              <w:t>↑ Net Positive</w:t>
            </w:r>
          </w:p>
        </w:tc>
      </w:tr>
      <w:tr>
        <w:tc>
          <w:tcPr>
            <w:tcW w:type="dxa" w:w="1440"/>
          </w:tcPr>
          <w:p>
            <w:r>
              <w:rPr>
                <w:rFonts w:ascii="Calibri" w:hAnsi="Calibri"/>
                <w:sz w:val="22"/>
              </w:rPr>
              <w:t>GM</w:t>
            </w:r>
          </w:p>
        </w:tc>
        <w:tc>
          <w:tcPr>
            <w:tcW w:type="dxa" w:w="1440"/>
          </w:tcPr>
          <w:p>
            <w:r>
              <w:rPr>
                <w:rFonts w:ascii="Calibri" w:hAnsi="Calibri"/>
                <w:sz w:val="22"/>
              </w:rPr>
              <w:t>Jul 21, 2026</w:t>
            </w:r>
          </w:p>
        </w:tc>
        <w:tc>
          <w:tcPr>
            <w:tcW w:type="dxa" w:w="1440"/>
          </w:tcPr>
          <w:p>
            <w:r>
              <w:rPr>
                <w:rFonts w:ascii="Calibri" w:hAnsi="Calibri"/>
                <w:sz w:val="22"/>
              </w:rPr>
              <w:t>Indirect</w:t>
            </w:r>
          </w:p>
        </w:tc>
        <w:tc>
          <w:tcPr>
            <w:tcW w:type="dxa" w:w="1440"/>
          </w:tcPr>
          <w:p>
            <w:r>
              <w:rPr>
                <w:rFonts w:ascii="Calibri" w:hAnsi="Calibri"/>
                <w:sz w:val="22"/>
              </w:rPr>
              <w:t>US SAAR ~16M; truck demand strong; inventory balanced</w:t>
            </w:r>
          </w:p>
        </w:tc>
        <w:tc>
          <w:tcPr>
            <w:tcW w:type="dxa" w:w="1440"/>
          </w:tcPr>
          <w:p>
            <w:r>
              <w:rPr>
                <w:rFonts w:ascii="Calibri" w:hAnsi="Calibri"/>
                <w:sz w:val="22"/>
              </w:rPr>
              <w:t>Stable auto market; disciplined pricing supports used values</w:t>
            </w:r>
          </w:p>
        </w:tc>
        <w:tc>
          <w:tcPr>
            <w:tcW w:type="dxa" w:w="1440"/>
          </w:tcPr>
          <w:p>
            <w:r>
              <w:rPr>
                <w:rFonts w:ascii="Calibri" w:hAnsi="Calibri"/>
                <w:b/>
                <w:color w:val="30A46C"/>
                <w:sz w:val="22"/>
              </w:rPr>
              <w:t>↑ Positive</w:t>
            </w:r>
          </w:p>
        </w:tc>
      </w:tr>
      <w:tr>
        <w:tc>
          <w:tcPr>
            <w:tcW w:type="dxa" w:w="1440"/>
          </w:tcPr>
          <w:p>
            <w:r>
              <w:rPr>
                <w:rFonts w:ascii="Calibri" w:hAnsi="Calibri"/>
                <w:sz w:val="22"/>
              </w:rPr>
              <w:t>GM</w:t>
            </w:r>
          </w:p>
        </w:tc>
        <w:tc>
          <w:tcPr>
            <w:tcW w:type="dxa" w:w="1440"/>
          </w:tcPr>
          <w:p>
            <w:r>
              <w:rPr>
                <w:rFonts w:ascii="Calibri" w:hAnsi="Calibri"/>
                <w:sz w:val="22"/>
              </w:rPr>
              <w:t>Jul 21, 2026</w:t>
            </w:r>
          </w:p>
        </w:tc>
        <w:tc>
          <w:tcPr>
            <w:tcW w:type="dxa" w:w="1440"/>
          </w:tcPr>
          <w:p>
            <w:r>
              <w:rPr>
                <w:rFonts w:ascii="Calibri" w:hAnsi="Calibri"/>
                <w:sz w:val="22"/>
              </w:rPr>
              <w:t>Indirect</w:t>
            </w:r>
          </w:p>
        </w:tc>
        <w:tc>
          <w:tcPr>
            <w:tcW w:type="dxa" w:w="1440"/>
          </w:tcPr>
          <w:p>
            <w:r>
              <w:rPr>
                <w:rFonts w:ascii="Calibri" w:hAnsi="Calibri"/>
                <w:sz w:val="22"/>
              </w:rPr>
              <w:t>GM Financial EBT -14% YoY; credit conditions tightening</w:t>
            </w:r>
          </w:p>
        </w:tc>
        <w:tc>
          <w:tcPr>
            <w:tcW w:type="dxa" w:w="1440"/>
          </w:tcPr>
          <w:p>
            <w:r>
              <w:rPr>
                <w:rFonts w:ascii="Calibri" w:hAnsi="Calibri"/>
                <w:sz w:val="22"/>
              </w:rPr>
              <w:t>Modest caution on finance/ancillary GPU</w:t>
            </w:r>
          </w:p>
        </w:tc>
        <w:tc>
          <w:tcPr>
            <w:tcW w:type="dxa" w:w="1440"/>
          </w:tcPr>
          <w:p>
            <w:r>
              <w:rPr>
                <w:rFonts w:ascii="Calibri" w:hAnsi="Calibri"/>
                <w:b/>
                <w:color w:val="E5484D"/>
                <w:sz w:val="22"/>
              </w:rPr>
              <w:t>↓ Slight Caution</w:t>
            </w:r>
          </w:p>
        </w:tc>
      </w:tr>
      <w:tr>
        <w:tc>
          <w:tcPr>
            <w:tcW w:type="dxa" w:w="1440"/>
          </w:tcPr>
          <w:p>
            <w:r>
              <w:rPr>
                <w:rFonts w:ascii="Calibri" w:hAnsi="Calibri"/>
                <w:sz w:val="22"/>
              </w:rPr>
              <w:t>F</w:t>
            </w:r>
          </w:p>
        </w:tc>
        <w:tc>
          <w:tcPr>
            <w:tcW w:type="dxa" w:w="1440"/>
          </w:tcPr>
          <w:p>
            <w:r>
              <w:rPr>
                <w:rFonts w:ascii="Calibri" w:hAnsi="Calibri"/>
                <w:sz w:val="22"/>
              </w:rPr>
              <w:t>Jul 28, 2026</w:t>
            </w:r>
          </w:p>
        </w:tc>
        <w:tc>
          <w:tcPr>
            <w:tcW w:type="dxa" w:w="1440"/>
          </w:tcPr>
          <w:p>
            <w:r>
              <w:rPr>
                <w:rFonts w:ascii="Calibri" w:hAnsi="Calibri"/>
                <w:sz w:val="22"/>
              </w:rPr>
              <w:t>Indirect</w:t>
            </w:r>
          </w:p>
        </w:tc>
        <w:tc>
          <w:tcPr>
            <w:tcW w:type="dxa" w:w="1440"/>
          </w:tcPr>
          <w:p>
            <w:r>
              <w:rPr>
                <w:rFonts w:ascii="Calibri" w:hAnsi="Calibri"/>
                <w:sz w:val="22"/>
              </w:rPr>
              <w:t>Truck demand strong; net pricing +0.5%; CPO sales +20%+</w:t>
            </w:r>
          </w:p>
        </w:tc>
        <w:tc>
          <w:tcPr>
            <w:tcW w:type="dxa" w:w="1440"/>
          </w:tcPr>
          <w:p>
            <w:r>
              <w:rPr>
                <w:rFonts w:ascii="Calibri" w:hAnsi="Calibri"/>
                <w:sz w:val="22"/>
              </w:rPr>
              <w:t>Healthy used vehicle market; supports CVNA residual values</w:t>
            </w:r>
          </w:p>
        </w:tc>
        <w:tc>
          <w:tcPr>
            <w:tcW w:type="dxa" w:w="1440"/>
          </w:tcPr>
          <w:p>
            <w:r>
              <w:rPr>
                <w:rFonts w:ascii="Calibri" w:hAnsi="Calibri"/>
                <w:b/>
                <w:color w:val="30A46C"/>
                <w:sz w:val="22"/>
              </w:rPr>
              <w:t>↑ Positive</w:t>
            </w:r>
          </w:p>
        </w:tc>
      </w:tr>
      <w:tr>
        <w:tc>
          <w:tcPr>
            <w:tcW w:type="dxa" w:w="1440"/>
          </w:tcPr>
          <w:p>
            <w:r>
              <w:rPr>
                <w:rFonts w:ascii="Calibri" w:hAnsi="Calibri"/>
                <w:sz w:val="22"/>
              </w:rPr>
              <w:t>F</w:t>
            </w:r>
          </w:p>
        </w:tc>
        <w:tc>
          <w:tcPr>
            <w:tcW w:type="dxa" w:w="1440"/>
          </w:tcPr>
          <w:p>
            <w:r>
              <w:rPr>
                <w:rFonts w:ascii="Calibri" w:hAnsi="Calibri"/>
                <w:sz w:val="22"/>
              </w:rPr>
              <w:t>Jul 28, 2026</w:t>
            </w:r>
          </w:p>
        </w:tc>
        <w:tc>
          <w:tcPr>
            <w:tcW w:type="dxa" w:w="1440"/>
          </w:tcPr>
          <w:p>
            <w:r>
              <w:rPr>
                <w:rFonts w:ascii="Calibri" w:hAnsi="Calibri"/>
                <w:sz w:val="22"/>
              </w:rPr>
              <w:t>Indirect</w:t>
            </w:r>
          </w:p>
        </w:tc>
        <w:tc>
          <w:tcPr>
            <w:tcW w:type="dxa" w:w="1440"/>
          </w:tcPr>
          <w:p>
            <w:r>
              <w:rPr>
                <w:rFonts w:ascii="Calibri" w:hAnsi="Calibri"/>
                <w:sz w:val="22"/>
              </w:rPr>
              <w:t>Ford Credit EBT +$112M; auto finance healthy</w:t>
            </w:r>
          </w:p>
        </w:tc>
        <w:tc>
          <w:tcPr>
            <w:tcW w:type="dxa" w:w="1440"/>
          </w:tcPr>
          <w:p>
            <w:r>
              <w:rPr>
                <w:rFonts w:ascii="Calibri" w:hAnsi="Calibri"/>
                <w:sz w:val="22"/>
              </w:rPr>
              <w:t>Positive for consumer financing availability; supports CVNA attach rates</w:t>
            </w:r>
          </w:p>
        </w:tc>
        <w:tc>
          <w:tcPr>
            <w:tcW w:type="dxa" w:w="1440"/>
          </w:tcPr>
          <w:p>
            <w:r>
              <w:rPr>
                <w:rFonts w:ascii="Calibri" w:hAnsi="Calibri"/>
                <w:b/>
                <w:color w:val="30A46C"/>
                <w:sz w:val="22"/>
              </w:rPr>
              <w:t>↑ 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material development since Q1 earnings is Carvana’s strategic pivot into new vehicle sales — seven Stellantis franchises acquired and a Slate Auto warrant disclosed — which management has been deliberately opaque about and which analysts will press hard on the Q2 call. The 5-for-1 stock split (May 2026) was a secondary event with no fundamental impact.</w:t>
      </w:r>
    </w:p>
    <w:p>
      <w:pPr>
        <w:pStyle w:val="ListBullet"/>
        <w:ind w:left="360" w:hanging="360"/>
      </w:pPr>
      <w:r>
        <w:rPr>
          <w:rFonts w:ascii="Calibri" w:hAnsi="Calibri"/>
          <w:b/>
          <w:color w:val="525866"/>
          <w:sz w:val="22"/>
        </w:rPr>
        <w:t xml:space="preserve">Jun 16–17, 2026 — New Vehicle Strategy Disclosed: </w:t>
      </w:r>
      <w:r>
        <w:rPr>
          <w:rFonts w:ascii="Calibri" w:hAnsi="Calibri"/>
          <w:color w:val="525866"/>
          <w:sz w:val="22"/>
        </w:rPr>
        <w:t xml:space="preserve">Carvana confirmed it has acquired seven Stellantis (CDJR) franchised dealerships across multiple states. Critically, Carvana will NOT sell vehicles at these locations in the traditional sense — they are being positioned as “playgrounds” and test-drive centers with all sales remaining online. This is a stark departure from traditional dealer operations. Management has been tight-lipped, consistently deflecting analyst questions with “stay tuned.” </w:t>
      </w:r>
      <w:r>
        <w:rPr>
          <w:rFonts w:ascii="Calibri" w:hAnsi="Calibri"/>
          <w:color w:val="525866"/>
          <w:sz w:val="22"/>
        </w:rPr>
        <w:t>Implication: Analysts will push hard for financial details on the Q2 call. Potential motivations include used vehicle sourcing via trade-ins, proximity for same-day delivery, and service revenue. No financial guidance has been issued.</w:t>
      </w:r>
    </w:p>
    <w:p>
      <w:pPr>
        <w:pStyle w:val="ListBullet"/>
        <w:ind w:left="360" w:hanging="360"/>
      </w:pPr>
      <w:r>
        <w:rPr>
          <w:rFonts w:ascii="Calibri" w:hAnsi="Calibri"/>
          <w:b/>
          <w:color w:val="525866"/>
          <w:sz w:val="22"/>
        </w:rPr>
        <w:t xml:space="preserve">Jun 3, 2026 — Slate Auto Warrant Disclosed: </w:t>
      </w:r>
      <w:r>
        <w:rPr>
          <w:rFonts w:ascii="Calibri" w:hAnsi="Calibri"/>
          <w:color w:val="525866"/>
          <w:sz w:val="22"/>
        </w:rPr>
        <w:t xml:space="preserve">TechCrunch reported that Carvana was granted a warrant to invest in Slate Auto, a Bezos-backed EV startup, in June 2025. The warrant was disclosed in a March 2026 regulatory filing as a “private consumer products company” with aggregate value of $1.5M at end of 2025, vesting through 2029 based on jointly determined performance goals. Mark Walter (8% Class B shareholder) has a substantial ownership interest in Slate Auto. </w:t>
      </w:r>
      <w:r>
        <w:rPr>
          <w:rFonts w:ascii="Calibri" w:hAnsi="Calibri"/>
          <w:color w:val="525866"/>
          <w:sz w:val="22"/>
        </w:rPr>
        <w:t>Implication: Signals Carvana’s intent to participate in new vehicle sales, potentially through Slate’s low-cost EV (~$25K starting price). Governance/conflict-of-interest questions likely on the Q2 call.</w:t>
      </w:r>
    </w:p>
    <w:p>
      <w:pPr>
        <w:pStyle w:val="ListBullet"/>
        <w:ind w:left="360" w:hanging="360"/>
      </w:pPr>
      <w:r>
        <w:rPr>
          <w:rFonts w:ascii="Calibri" w:hAnsi="Calibri"/>
          <w:b/>
          <w:color w:val="525866"/>
          <w:sz w:val="22"/>
        </w:rPr>
        <w:t xml:space="preserve">May 6–8, 2026 — 5-for-1 Stock Split Approved and Effective: </w:t>
      </w:r>
      <w:r>
        <w:rPr>
          <w:rFonts w:ascii="Calibri" w:hAnsi="Calibri"/>
          <w:color w:val="525866"/>
          <w:sz w:val="22"/>
        </w:rPr>
        <w:t xml:space="preserve">Carvana shareholders approved a 5-for-1 stock split at the annual meeting on May 6, 2026, with the split effective May 8, 2026. All per-share figures in this document reflect the post-split basis. </w:t>
      </w:r>
      <w:r>
        <w:rPr>
          <w:rFonts w:ascii="Calibri" w:hAnsi="Calibri"/>
          <w:color w:val="525866"/>
          <w:sz w:val="22"/>
        </w:rPr>
        <w:t>Implication: No fundamental impact; improved share price accessibility. All VA consensus data reflects post-split basis.</w:t>
      </w:r>
    </w:p>
    <w:p>
      <w:pPr>
        <w:pStyle w:val="ListBullet"/>
        <w:ind w:left="360" w:hanging="360"/>
      </w:pPr>
      <w:r>
        <w:rPr>
          <w:rFonts w:ascii="Calibri" w:hAnsi="Calibri"/>
          <w:b/>
          <w:color w:val="525866"/>
          <w:sz w:val="22"/>
        </w:rPr>
        <w:t xml:space="preserve">Jul 1, 2026 — Earnings Date Announced: </w:t>
      </w:r>
      <w:r>
        <w:rPr>
          <w:rFonts w:ascii="Calibri" w:hAnsi="Calibri"/>
          <w:color w:val="525866"/>
          <w:sz w:val="22"/>
        </w:rPr>
        <w:t xml:space="preserve">Carvana announced Q2 2026 results will be reported on July 29, 2026, with a conference call at 5:30 PM ET. </w:t>
      </w:r>
      <w:r>
        <w:rPr>
          <w:rFonts w:ascii="Calibri" w:hAnsi="Calibri"/>
          <w:color w:val="525866"/>
          <w:sz w:val="22"/>
        </w:rPr>
        <w:t>Implication: Confirms the reporting timeline; no pre-announcement or guidance update was issued alongside.</w:t>
      </w:r>
    </w:p>
    <w:p>
      <w:pPr>
        <w:pStyle w:val="ListBullet"/>
        <w:ind w:left="360" w:hanging="360"/>
      </w:pPr>
      <w:r>
        <w:rPr>
          <w:rFonts w:ascii="Calibri" w:hAnsi="Calibri"/>
          <w:b/>
          <w:color w:val="525866"/>
          <w:sz w:val="22"/>
        </w:rPr>
        <w:t xml:space="preserve">Jul 21–28, 2026 — Automotive Peer Earnings (GM, Ford): </w:t>
      </w:r>
      <w:r>
        <w:rPr>
          <w:rFonts w:ascii="Calibri" w:hAnsi="Calibri"/>
          <w:color w:val="525866"/>
          <w:sz w:val="22"/>
        </w:rPr>
        <w:t xml:space="preserve">GM raised full-year guidance for the second time (EBIT-adjusted to $14–16B); Ford raised full-year EBIT guidance to $10–11B. Both cited strong truck demand, disciplined pricing, and healthy consumer finance. </w:t>
      </w:r>
      <w:r>
        <w:rPr>
          <w:rFonts w:ascii="Calibri" w:hAnsi="Calibri"/>
          <w:color w:val="525866"/>
          <w:sz w:val="22"/>
        </w:rPr>
        <w:t>Implication: Positive read-through for the broader automotive market environment in which CVNA operates during Q2 2026.</w:t>
      </w:r>
    </w:p>
    <w:p>
      <w:pPr>
        <w:pStyle w:val="ListBullet"/>
        <w:ind w:left="360" w:hanging="360"/>
      </w:pPr>
      <w:r>
        <w:rPr>
          <w:rFonts w:ascii="Calibri" w:hAnsi="Calibri"/>
          <w:b/>
          <w:color w:val="525866"/>
          <w:sz w:val="22"/>
        </w:rPr>
        <w:t xml:space="preserve">Jun 17, 2026 — CarMax Q1 FY2027 Earnings: </w:t>
      </w:r>
      <w:r>
        <w:rPr>
          <w:rFonts w:ascii="Calibri" w:hAnsi="Calibri"/>
          <w:color w:val="525866"/>
          <w:sz w:val="22"/>
        </w:rPr>
        <w:t xml:space="preserve">KMX reported fiscal Q1 2027 results, with management declaring the business has “turned the corner” on used vehicle demand. KMX stock rose on the print. CVNA sold off ~7% on the same day, suggesting the market interpreted KMX’s GPU concession commentary as a negative read-through for CVNA’s own GPU trajectory. </w:t>
      </w:r>
      <w:r>
        <w:rPr>
          <w:rFonts w:ascii="Calibri" w:hAnsi="Calibri"/>
          <w:color w:val="525866"/>
          <w:sz w:val="22"/>
        </w:rPr>
        <w:t>Implication: The market’s reaction to KMX earnings was a key driver of CVNA’s underperformance in June; if CVNA’s Q2 GPU comes in better than feared, this could be a meaningful re-rating catalyst.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consists of routine tax-withholding dispositions and pre-planned 10b5-1 sales — no discretionary open-market buys or sells. The CFO and COO executed large 10b5-1 planned sales on July 1, 2026, but these were under plans adopted in August 2024 and December 2024 respectively, well before the Q2 reporting period. </w:t>
      </w:r>
      <w:r>
        <w:rPr>
          <w:rFonts w:ascii="Calibri" w:hAnsi="Calibri"/>
          <w:color w:val="525866"/>
          <w:sz w:val="22"/>
        </w:rPr>
        <w:t>Nothing stands out as a directional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Mark W. Jenkins</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63,750 shares (~$4.3M at ~$67.87 avg)</w:t>
            </w:r>
          </w:p>
        </w:tc>
        <w:tc>
          <w:tcPr>
            <w:tcW w:type="dxa" w:w="1440"/>
          </w:tcPr>
          <w:p>
            <w:r>
              <w:rPr>
                <w:rFonts w:ascii="Calibri" w:hAnsi="Calibri"/>
                <w:sz w:val="22"/>
              </w:rPr>
              <w:t>Jul 1, 2026</w:t>
            </w:r>
          </w:p>
        </w:tc>
        <w:tc>
          <w:tcPr>
            <w:tcW w:type="dxa" w:w="1440"/>
          </w:tcPr>
          <w:p>
            <w:r>
              <w:rPr>
                <w:rFonts w:ascii="Calibri" w:hAnsi="Calibri"/>
                <w:sz w:val="22"/>
              </w:rPr>
              <w:t>Plan adopted Aug 5, 2024; executed via option exercise + sale; not discretionary</w:t>
            </w:r>
          </w:p>
        </w:tc>
      </w:tr>
      <w:tr>
        <w:tc>
          <w:tcPr>
            <w:tcW w:type="dxa" w:w="1440"/>
          </w:tcPr>
          <w:p>
            <w:r>
              <w:rPr>
                <w:rFonts w:ascii="Calibri" w:hAnsi="Calibri"/>
                <w:sz w:val="22"/>
              </w:rPr>
              <w:t>Benjamin E. Huston</w:t>
            </w:r>
          </w:p>
        </w:tc>
        <w:tc>
          <w:tcPr>
            <w:tcW w:type="dxa" w:w="1440"/>
          </w:tcPr>
          <w:p>
            <w:r>
              <w:rPr>
                <w:rFonts w:ascii="Calibri" w:hAnsi="Calibri"/>
                <w:sz w:val="22"/>
              </w:rPr>
              <w:t>COO</w:t>
            </w:r>
          </w:p>
        </w:tc>
        <w:tc>
          <w:tcPr>
            <w:tcW w:type="dxa" w:w="1440"/>
          </w:tcPr>
          <w:p>
            <w:r>
              <w:rPr>
                <w:rFonts w:ascii="Calibri" w:hAnsi="Calibri"/>
                <w:sz w:val="22"/>
              </w:rPr>
              <w:t>10b5-1 Planned Sale</w:t>
            </w:r>
          </w:p>
        </w:tc>
        <w:tc>
          <w:tcPr>
            <w:tcW w:type="dxa" w:w="1440"/>
          </w:tcPr>
          <w:p>
            <w:r>
              <w:rPr>
                <w:rFonts w:ascii="Calibri" w:hAnsi="Calibri"/>
                <w:sz w:val="22"/>
              </w:rPr>
              <w:t>50,000 shares (~$3.4M at ~$67.87 avg)</w:t>
            </w:r>
          </w:p>
        </w:tc>
        <w:tc>
          <w:tcPr>
            <w:tcW w:type="dxa" w:w="1440"/>
          </w:tcPr>
          <w:p>
            <w:r>
              <w:rPr>
                <w:rFonts w:ascii="Calibri" w:hAnsi="Calibri"/>
                <w:sz w:val="22"/>
              </w:rPr>
              <w:t>Jul 1, 2026</w:t>
            </w:r>
          </w:p>
        </w:tc>
        <w:tc>
          <w:tcPr>
            <w:tcW w:type="dxa" w:w="1440"/>
          </w:tcPr>
          <w:p>
            <w:r>
              <w:rPr>
                <w:rFonts w:ascii="Calibri" w:hAnsi="Calibri"/>
                <w:sz w:val="22"/>
              </w:rPr>
              <w:t>Plan adopted Dec 13, 2024; not discretionary</w:t>
            </w:r>
          </w:p>
        </w:tc>
      </w:tr>
      <w:tr>
        <w:tc>
          <w:tcPr>
            <w:tcW w:type="dxa" w:w="1440"/>
          </w:tcPr>
          <w:p>
            <w:r>
              <w:rPr>
                <w:rFonts w:ascii="Calibri" w:hAnsi="Calibri"/>
                <w:sz w:val="22"/>
              </w:rPr>
              <w:t>Stephen R. Palmer</w:t>
            </w:r>
          </w:p>
        </w:tc>
        <w:tc>
          <w:tcPr>
            <w:tcW w:type="dxa" w:w="1440"/>
          </w:tcPr>
          <w:p>
            <w:r>
              <w:rPr>
                <w:rFonts w:ascii="Calibri" w:hAnsi="Calibri"/>
                <w:sz w:val="22"/>
              </w:rPr>
              <w:t>VP, Accounting</w:t>
            </w:r>
          </w:p>
        </w:tc>
        <w:tc>
          <w:tcPr>
            <w:tcW w:type="dxa" w:w="1440"/>
          </w:tcPr>
          <w:p>
            <w:r>
              <w:rPr>
                <w:rFonts w:ascii="Calibri" w:hAnsi="Calibri"/>
                <w:sz w:val="22"/>
              </w:rPr>
              <w:t>10b5-1 Planned Sale</w:t>
            </w:r>
          </w:p>
        </w:tc>
        <w:tc>
          <w:tcPr>
            <w:tcW w:type="dxa" w:w="1440"/>
          </w:tcPr>
          <w:p>
            <w:r>
              <w:rPr>
                <w:rFonts w:ascii="Calibri" w:hAnsi="Calibri"/>
                <w:sz w:val="22"/>
              </w:rPr>
              <w:t>5,000 shares (~$340K)</w:t>
            </w:r>
          </w:p>
        </w:tc>
        <w:tc>
          <w:tcPr>
            <w:tcW w:type="dxa" w:w="1440"/>
          </w:tcPr>
          <w:p>
            <w:r>
              <w:rPr>
                <w:rFonts w:ascii="Calibri" w:hAnsi="Calibri"/>
                <w:sz w:val="22"/>
              </w:rPr>
              <w:t>Jul 1, 2026</w:t>
            </w:r>
          </w:p>
        </w:tc>
        <w:tc>
          <w:tcPr>
            <w:tcW w:type="dxa" w:w="1440"/>
          </w:tcPr>
          <w:p>
            <w:r>
              <w:rPr>
                <w:rFonts w:ascii="Calibri" w:hAnsi="Calibri"/>
                <w:sz w:val="22"/>
              </w:rPr>
              <w:t>Plan adopted May 28, 2025; routine; not notable</w:t>
            </w:r>
          </w:p>
        </w:tc>
      </w:tr>
      <w:tr>
        <w:tc>
          <w:tcPr>
            <w:tcW w:type="dxa" w:w="1440"/>
          </w:tcPr>
          <w:p>
            <w:r>
              <w:rPr>
                <w:rFonts w:ascii="Calibri" w:hAnsi="Calibri"/>
                <w:sz w:val="22"/>
              </w:rPr>
              <w:t>Ernest C. Garcia III</w:t>
            </w:r>
          </w:p>
        </w:tc>
        <w:tc>
          <w:tcPr>
            <w:tcW w:type="dxa" w:w="1440"/>
          </w:tcPr>
          <w:p>
            <w:r>
              <w:rPr>
                <w:rFonts w:ascii="Calibri" w:hAnsi="Calibri"/>
                <w:sz w:val="22"/>
              </w:rPr>
              <w:t>CEO</w:t>
            </w:r>
          </w:p>
        </w:tc>
        <w:tc>
          <w:tcPr>
            <w:tcW w:type="dxa" w:w="1440"/>
          </w:tcPr>
          <w:p>
            <w:r>
              <w:rPr>
                <w:rFonts w:ascii="Calibri" w:hAnsi="Calibri"/>
                <w:sz w:val="22"/>
              </w:rPr>
              <w:t>Tax Withholding (Code F)</w:t>
            </w:r>
          </w:p>
        </w:tc>
        <w:tc>
          <w:tcPr>
            <w:tcW w:type="dxa" w:w="1440"/>
          </w:tcPr>
          <w:p>
            <w:r>
              <w:rPr>
                <w:rFonts w:ascii="Calibri" w:hAnsi="Calibri"/>
                <w:sz w:val="22"/>
              </w:rPr>
              <w:t>7,072 shares (~$480K at $67.87)</w:t>
            </w:r>
          </w:p>
        </w:tc>
        <w:tc>
          <w:tcPr>
            <w:tcW w:type="dxa" w:w="1440"/>
          </w:tcPr>
          <w:p>
            <w:r>
              <w:rPr>
                <w:rFonts w:ascii="Calibri" w:hAnsi="Calibri"/>
                <w:sz w:val="22"/>
              </w:rPr>
              <w:t>Jul 1, 2026</w:t>
            </w:r>
          </w:p>
        </w:tc>
        <w:tc>
          <w:tcPr>
            <w:tcW w:type="dxa" w:w="1440"/>
          </w:tcPr>
          <w:p>
            <w:r>
              <w:rPr>
                <w:rFonts w:ascii="Calibri" w:hAnsi="Calibri"/>
                <w:sz w:val="22"/>
              </w:rPr>
              <w:t>RSU vesting tax withholding; not a discretionary sale</w:t>
            </w:r>
          </w:p>
        </w:tc>
      </w:tr>
      <w:tr>
        <w:tc>
          <w:tcPr>
            <w:tcW w:type="dxa" w:w="1440"/>
          </w:tcPr>
          <w:p>
            <w:r>
              <w:rPr>
                <w:rFonts w:ascii="Calibri" w:hAnsi="Calibri"/>
                <w:sz w:val="22"/>
              </w:rPr>
              <w:t>Daniel J. Gill</w:t>
            </w:r>
          </w:p>
        </w:tc>
        <w:tc>
          <w:tcPr>
            <w:tcW w:type="dxa" w:w="1440"/>
          </w:tcPr>
          <w:p>
            <w:r>
              <w:rPr>
                <w:rFonts w:ascii="Calibri" w:hAnsi="Calibri"/>
                <w:sz w:val="22"/>
              </w:rPr>
              <w:t>Chief Product Officer</w:t>
            </w:r>
          </w:p>
        </w:tc>
        <w:tc>
          <w:tcPr>
            <w:tcW w:type="dxa" w:w="1440"/>
          </w:tcPr>
          <w:p>
            <w:r>
              <w:rPr>
                <w:rFonts w:ascii="Calibri" w:hAnsi="Calibri"/>
                <w:sz w:val="22"/>
              </w:rPr>
              <w:t>Tax Withholding (Code F)</w:t>
            </w:r>
          </w:p>
        </w:tc>
        <w:tc>
          <w:tcPr>
            <w:tcW w:type="dxa" w:w="1440"/>
          </w:tcPr>
          <w:p>
            <w:r>
              <w:rPr>
                <w:rFonts w:ascii="Calibri" w:hAnsi="Calibri"/>
                <w:sz w:val="22"/>
              </w:rPr>
              <w:t>7,705 shares (~$523K at $67.87)</w:t>
            </w:r>
          </w:p>
        </w:tc>
        <w:tc>
          <w:tcPr>
            <w:tcW w:type="dxa" w:w="1440"/>
          </w:tcPr>
          <w:p>
            <w:r>
              <w:rPr>
                <w:rFonts w:ascii="Calibri" w:hAnsi="Calibri"/>
                <w:sz w:val="22"/>
              </w:rPr>
              <w:t>Jul 1, 2026</w:t>
            </w:r>
          </w:p>
        </w:tc>
        <w:tc>
          <w:tcPr>
            <w:tcW w:type="dxa" w:w="1440"/>
          </w:tcPr>
          <w:p>
            <w:r>
              <w:rPr>
                <w:rFonts w:ascii="Calibri" w:hAnsi="Calibri"/>
                <w:sz w:val="22"/>
              </w:rPr>
              <w:t>RSU vesting tax withholding; not a discretionary sale</w:t>
            </w:r>
          </w:p>
        </w:tc>
      </w:tr>
      <w:tr>
        <w:tc>
          <w:tcPr>
            <w:tcW w:type="dxa" w:w="1440"/>
          </w:tcPr>
          <w:p>
            <w:r>
              <w:rPr>
                <w:rFonts w:ascii="Calibri" w:hAnsi="Calibri"/>
                <w:sz w:val="22"/>
              </w:rPr>
              <w:t>Benjamin E. Huston</w:t>
            </w:r>
          </w:p>
        </w:tc>
        <w:tc>
          <w:tcPr>
            <w:tcW w:type="dxa" w:w="1440"/>
          </w:tcPr>
          <w:p>
            <w:r>
              <w:rPr>
                <w:rFonts w:ascii="Calibri" w:hAnsi="Calibri"/>
                <w:sz w:val="22"/>
              </w:rPr>
              <w:t>COO</w:t>
            </w:r>
          </w:p>
        </w:tc>
        <w:tc>
          <w:tcPr>
            <w:tcW w:type="dxa" w:w="1440"/>
          </w:tcPr>
          <w:p>
            <w:r>
              <w:rPr>
                <w:rFonts w:ascii="Calibri" w:hAnsi="Calibri"/>
                <w:sz w:val="22"/>
              </w:rPr>
              <w:t>Tax Withholding (Code F)</w:t>
            </w:r>
          </w:p>
        </w:tc>
        <w:tc>
          <w:tcPr>
            <w:tcW w:type="dxa" w:w="1440"/>
          </w:tcPr>
          <w:p>
            <w:r>
              <w:rPr>
                <w:rFonts w:ascii="Calibri" w:hAnsi="Calibri"/>
                <w:sz w:val="22"/>
              </w:rPr>
              <w:t>7,014 shares (~$476K at $67.87)</w:t>
            </w:r>
          </w:p>
        </w:tc>
        <w:tc>
          <w:tcPr>
            <w:tcW w:type="dxa" w:w="1440"/>
          </w:tcPr>
          <w:p>
            <w:r>
              <w:rPr>
                <w:rFonts w:ascii="Calibri" w:hAnsi="Calibri"/>
                <w:sz w:val="22"/>
              </w:rPr>
              <w:t>Jul 1, 2026</w:t>
            </w:r>
          </w:p>
        </w:tc>
        <w:tc>
          <w:tcPr>
            <w:tcW w:type="dxa" w:w="1440"/>
          </w:tcPr>
          <w:p>
            <w:r>
              <w:rPr>
                <w:rFonts w:ascii="Calibri" w:hAnsi="Calibri"/>
                <w:sz w:val="22"/>
              </w:rPr>
              <w:t>RSU vesting tax withholding; not a discretionary sale</w:t>
            </w:r>
          </w:p>
        </w:tc>
      </w:tr>
      <w:tr>
        <w:tc>
          <w:tcPr>
            <w:tcW w:type="dxa" w:w="1440"/>
          </w:tcPr>
          <w:p>
            <w:r>
              <w:rPr>
                <w:rFonts w:ascii="Calibri" w:hAnsi="Calibri"/>
                <w:sz w:val="22"/>
              </w:rPr>
              <w:t>Mark W. Jenkins</w:t>
            </w:r>
          </w:p>
        </w:tc>
        <w:tc>
          <w:tcPr>
            <w:tcW w:type="dxa" w:w="1440"/>
          </w:tcPr>
          <w:p>
            <w:r>
              <w:rPr>
                <w:rFonts w:ascii="Calibri" w:hAnsi="Calibri"/>
                <w:sz w:val="22"/>
              </w:rPr>
              <w:t>CFO</w:t>
            </w:r>
          </w:p>
        </w:tc>
        <w:tc>
          <w:tcPr>
            <w:tcW w:type="dxa" w:w="1440"/>
          </w:tcPr>
          <w:p>
            <w:r>
              <w:rPr>
                <w:rFonts w:ascii="Calibri" w:hAnsi="Calibri"/>
                <w:sz w:val="22"/>
              </w:rPr>
              <w:t>Tax Withholding (Code F)</w:t>
            </w:r>
          </w:p>
        </w:tc>
        <w:tc>
          <w:tcPr>
            <w:tcW w:type="dxa" w:w="1440"/>
          </w:tcPr>
          <w:p>
            <w:r>
              <w:rPr>
                <w:rFonts w:ascii="Calibri" w:hAnsi="Calibri"/>
                <w:sz w:val="22"/>
              </w:rPr>
              <w:t>7,014 shares (~$476K at $67.87)</w:t>
            </w:r>
          </w:p>
        </w:tc>
        <w:tc>
          <w:tcPr>
            <w:tcW w:type="dxa" w:w="1440"/>
          </w:tcPr>
          <w:p>
            <w:r>
              <w:rPr>
                <w:rFonts w:ascii="Calibri" w:hAnsi="Calibri"/>
                <w:sz w:val="22"/>
              </w:rPr>
              <w:t>Jul 1, 2026</w:t>
            </w:r>
          </w:p>
        </w:tc>
        <w:tc>
          <w:tcPr>
            <w:tcW w:type="dxa" w:w="1440"/>
          </w:tcPr>
          <w:p>
            <w:r>
              <w:rPr>
                <w:rFonts w:ascii="Calibri" w:hAnsi="Calibri"/>
                <w:sz w:val="22"/>
              </w:rPr>
              <w:t>RSU vesting tax withholding; not a discretionary sale</w:t>
            </w:r>
          </w:p>
        </w:tc>
      </w:tr>
      <w:tr>
        <w:tc>
          <w:tcPr>
            <w:tcW w:type="dxa" w:w="1440"/>
          </w:tcPr>
          <w:p>
            <w:r>
              <w:rPr>
                <w:rFonts w:ascii="Calibri" w:hAnsi="Calibri"/>
                <w:sz w:val="22"/>
              </w:rPr>
              <w:t>Paul W. Breaux</w:t>
            </w:r>
          </w:p>
        </w:tc>
        <w:tc>
          <w:tcPr>
            <w:tcW w:type="dxa" w:w="1440"/>
          </w:tcPr>
          <w:p>
            <w:r>
              <w:rPr>
                <w:rFonts w:ascii="Calibri" w:hAnsi="Calibri"/>
                <w:sz w:val="22"/>
              </w:rPr>
              <w:t>VP, General Counsel</w:t>
            </w:r>
          </w:p>
        </w:tc>
        <w:tc>
          <w:tcPr>
            <w:tcW w:type="dxa" w:w="1440"/>
          </w:tcPr>
          <w:p>
            <w:r>
              <w:rPr>
                <w:rFonts w:ascii="Calibri" w:hAnsi="Calibri"/>
                <w:sz w:val="22"/>
              </w:rPr>
              <w:t>Tax Withholding (Code F)</w:t>
            </w:r>
          </w:p>
        </w:tc>
        <w:tc>
          <w:tcPr>
            <w:tcW w:type="dxa" w:w="1440"/>
          </w:tcPr>
          <w:p>
            <w:r>
              <w:rPr>
                <w:rFonts w:ascii="Calibri" w:hAnsi="Calibri"/>
                <w:sz w:val="22"/>
              </w:rPr>
              <w:t>4,453 shares (~$302K at $67.87)</w:t>
            </w:r>
          </w:p>
        </w:tc>
        <w:tc>
          <w:tcPr>
            <w:tcW w:type="dxa" w:w="1440"/>
          </w:tcPr>
          <w:p>
            <w:r>
              <w:rPr>
                <w:rFonts w:ascii="Calibri" w:hAnsi="Calibri"/>
                <w:sz w:val="22"/>
              </w:rPr>
              <w:t>Jul 1, 2026</w:t>
            </w:r>
          </w:p>
        </w:tc>
        <w:tc>
          <w:tcPr>
            <w:tcW w:type="dxa" w:w="1440"/>
          </w:tcPr>
          <w:p>
            <w:r>
              <w:rPr>
                <w:rFonts w:ascii="Calibri" w:hAnsi="Calibri"/>
                <w:sz w:val="22"/>
              </w:rPr>
              <w:t>RSU vesting tax withholding; not a discretionary sale</w:t>
            </w:r>
          </w:p>
        </w:tc>
      </w:tr>
      <w:tr>
        <w:tc>
          <w:tcPr>
            <w:tcW w:type="dxa" w:w="1440"/>
          </w:tcPr>
          <w:p>
            <w:r>
              <w:rPr>
                <w:rFonts w:ascii="Calibri" w:hAnsi="Calibri"/>
                <w:sz w:val="22"/>
              </w:rPr>
              <w:t>Thomas Taira</w:t>
            </w:r>
          </w:p>
        </w:tc>
        <w:tc>
          <w:tcPr>
            <w:tcW w:type="dxa" w:w="1440"/>
          </w:tcPr>
          <w:p>
            <w:r>
              <w:rPr>
                <w:rFonts w:ascii="Calibri" w:hAnsi="Calibri"/>
                <w:sz w:val="22"/>
              </w:rPr>
              <w:t>President, Special Projects</w:t>
            </w:r>
          </w:p>
        </w:tc>
        <w:tc>
          <w:tcPr>
            <w:tcW w:type="dxa" w:w="1440"/>
          </w:tcPr>
          <w:p>
            <w:r>
              <w:rPr>
                <w:rFonts w:ascii="Calibri" w:hAnsi="Calibri"/>
                <w:sz w:val="22"/>
              </w:rPr>
              <w:t>Tax Withholding (Code F)</w:t>
            </w:r>
          </w:p>
        </w:tc>
        <w:tc>
          <w:tcPr>
            <w:tcW w:type="dxa" w:w="1440"/>
          </w:tcPr>
          <w:p>
            <w:r>
              <w:rPr>
                <w:rFonts w:ascii="Calibri" w:hAnsi="Calibri"/>
                <w:sz w:val="22"/>
              </w:rPr>
              <w:t>3,949 shares (~$268K at $67.87)</w:t>
            </w:r>
          </w:p>
        </w:tc>
        <w:tc>
          <w:tcPr>
            <w:tcW w:type="dxa" w:w="1440"/>
          </w:tcPr>
          <w:p>
            <w:r>
              <w:rPr>
                <w:rFonts w:ascii="Calibri" w:hAnsi="Calibri"/>
                <w:sz w:val="22"/>
              </w:rPr>
              <w:t>Jul 1, 2026</w:t>
            </w:r>
          </w:p>
        </w:tc>
        <w:tc>
          <w:tcPr>
            <w:tcW w:type="dxa" w:w="1440"/>
          </w:tcPr>
          <w:p>
            <w:r>
              <w:rPr>
                <w:rFonts w:ascii="Calibri" w:hAnsi="Calibri"/>
                <w:sz w:val="22"/>
              </w:rPr>
              <w:t>RSU vesting tax withholding; not a discretionary sale</w:t>
            </w:r>
          </w:p>
        </w:tc>
      </w:tr>
      <w:tr>
        <w:tc>
          <w:tcPr>
            <w:tcW w:type="dxa" w:w="1440"/>
          </w:tcPr>
          <w:p>
            <w:r>
              <w:rPr>
                <w:rFonts w:ascii="Calibri" w:hAnsi="Calibri"/>
                <w:sz w:val="22"/>
              </w:rPr>
              <w:t>Ryan S. Keeton</w:t>
            </w:r>
          </w:p>
        </w:tc>
        <w:tc>
          <w:tcPr>
            <w:tcW w:type="dxa" w:w="1440"/>
          </w:tcPr>
          <w:p>
            <w:r>
              <w:rPr>
                <w:rFonts w:ascii="Calibri" w:hAnsi="Calibri"/>
                <w:sz w:val="22"/>
              </w:rPr>
              <w:t>Chief Brand Officer</w:t>
            </w:r>
          </w:p>
        </w:tc>
        <w:tc>
          <w:tcPr>
            <w:tcW w:type="dxa" w:w="1440"/>
          </w:tcPr>
          <w:p>
            <w:r>
              <w:rPr>
                <w:rFonts w:ascii="Calibri" w:hAnsi="Calibri"/>
                <w:sz w:val="22"/>
              </w:rPr>
              <w:t>Tax Withholding (Code F)</w:t>
            </w:r>
          </w:p>
        </w:tc>
        <w:tc>
          <w:tcPr>
            <w:tcW w:type="dxa" w:w="1440"/>
          </w:tcPr>
          <w:p>
            <w:r>
              <w:rPr>
                <w:rFonts w:ascii="Calibri" w:hAnsi="Calibri"/>
                <w:sz w:val="22"/>
              </w:rPr>
              <w:t>2,883 shares (~$196K at $67.87)</w:t>
            </w:r>
          </w:p>
        </w:tc>
        <w:tc>
          <w:tcPr>
            <w:tcW w:type="dxa" w:w="1440"/>
          </w:tcPr>
          <w:p>
            <w:r>
              <w:rPr>
                <w:rFonts w:ascii="Calibri" w:hAnsi="Calibri"/>
                <w:sz w:val="22"/>
              </w:rPr>
              <w:t>Jul 1, 2026</w:t>
            </w:r>
          </w:p>
        </w:tc>
        <w:tc>
          <w:tcPr>
            <w:tcW w:type="dxa" w:w="1440"/>
          </w:tcPr>
          <w:p>
            <w:r>
              <w:rPr>
                <w:rFonts w:ascii="Calibri" w:hAnsi="Calibri"/>
                <w:sz w:val="22"/>
              </w:rPr>
              <w:t>RSU vesting tax withholding; not a discretionary sale</w:t>
            </w:r>
          </w:p>
        </w:tc>
      </w:tr>
    </w:tbl>
    <w:p>
      <w:r>
        <w:rPr>
          <w:rFonts w:ascii="Calibri" w:hAnsi="Calibri"/>
          <w:i/>
          <w:color w:val="525866"/>
          <w:sz w:val="22"/>
        </w:rPr>
        <w:t>Source: SEC Form 4 filings, CVNA, July 1, 2026. No open-market discretionary buys or sells (Form 4 Code P/S) were identified in the May 29 – July 28, 2026 window. All 10b5-1 plans were adopted well before the current reporting period.</w:t>
      </w:r>
    </w:p>
    <w:p>
      <w:r>
        <w:br w:type="page"/>
      </w:r>
    </w:p>
    <w:p>
      <w:pPr>
        <w:pStyle w:val="Heading2"/>
      </w:pPr>
      <w:r>
        <w:rPr>
          <w:rFonts w:ascii="Calibri" w:hAnsi="Calibri"/>
          <w:b/>
          <w:color w:val="3B4259"/>
          <w:sz w:val="28"/>
        </w:rPr>
        <w:t>9. Key Risks &amp; Earnings Call Questions to Watch</w:t>
      </w:r>
    </w:p>
    <w:p>
      <w:r>
        <w:rPr>
          <w:rFonts w:ascii="Calibri" w:hAnsi="Calibri"/>
          <w:b/>
          <w:color w:val="525866"/>
          <w:sz w:val="22"/>
        </w:rPr>
        <w:t xml:space="preserve">Key Takeaway: </w:t>
      </w:r>
      <w:r>
        <w:rPr>
          <w:rFonts w:ascii="Calibri" w:hAnsi="Calibri"/>
          <w:color w:val="525866"/>
          <w:sz w:val="22"/>
        </w:rPr>
        <w:t>The primary risk is a retail GPU miss at the high end of the flagged headwind range; the primary upside is GPU coming in better than feared. The new vehicle strategy is the wildcard that could dominate the Q&amp;A regardless of the financial results.</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Retail GPU at the high end of the flagged headwind range. </w:t>
      </w:r>
      <w:r>
        <w:rPr>
          <w:rFonts w:ascii="Calibri" w:hAnsi="Calibri"/>
          <w:color w:val="525866"/>
          <w:sz w:val="22"/>
        </w:rPr>
        <w:t>Management guided to ~$100–$200 of wholesale-to-retail spread compression and ~$100 of tariff-related YoY drag. If the spread compression lands at $200+ rather than $100, the EBITDA beat could be minimal or turn into a miss even with unit upside. This is the single biggest financial risk to the print.</w:t>
      </w:r>
    </w:p>
    <w:p>
      <w:pPr>
        <w:pStyle w:val="ListBullet"/>
        <w:ind w:left="360" w:hanging="360"/>
      </w:pPr>
      <w:r>
        <w:rPr>
          <w:rFonts w:ascii="Calibri" w:hAnsi="Calibri"/>
          <w:b/>
          <w:color w:val="525866"/>
          <w:sz w:val="22"/>
        </w:rPr>
        <w:t xml:space="preserve">Wholesale-to-retail spread compression persisting beyond Q2. </w:t>
      </w:r>
      <w:r>
        <w:rPr>
          <w:rFonts w:ascii="Calibri" w:hAnsi="Calibri"/>
          <w:color w:val="525866"/>
          <w:sz w:val="22"/>
        </w:rPr>
        <w:t>Management characterized the spread compression as “transitory,” but if wholesale prices remain elevated relative to retail in Q3, the headwind extends and the full-year EBITDA trajectory comes into question.</w:t>
      </w:r>
    </w:p>
    <w:p>
      <w:pPr>
        <w:pStyle w:val="ListBullet"/>
        <w:ind w:left="360" w:hanging="360"/>
      </w:pPr>
      <w:r>
        <w:rPr>
          <w:rFonts w:ascii="Calibri" w:hAnsi="Calibri"/>
          <w:b/>
          <w:color w:val="525866"/>
          <w:sz w:val="22"/>
        </w:rPr>
        <w:t xml:space="preserve">Reconditioning cost creep. </w:t>
      </w:r>
      <w:r>
        <w:rPr>
          <w:rFonts w:ascii="Calibri" w:hAnsi="Calibri"/>
          <w:color w:val="525866"/>
          <w:sz w:val="22"/>
        </w:rPr>
        <w:t>Q4 2025 demonstrated that rapid scaling can create reconditioning cost overruns. Management declared the issue resolved in Q1, but the Q2 guidance for sequential unit growth to all-time records means the network is being pushed harder again. Any sign of reconditioning cost re-acceleration would be a significant negative.</w:t>
      </w:r>
    </w:p>
    <w:p>
      <w:pPr>
        <w:pStyle w:val="ListBullet"/>
        <w:ind w:left="360" w:hanging="360"/>
      </w:pPr>
      <w:r>
        <w:rPr>
          <w:rFonts w:ascii="Calibri" w:hAnsi="Calibri"/>
          <w:b/>
          <w:color w:val="525866"/>
          <w:sz w:val="22"/>
        </w:rPr>
        <w:t xml:space="preserve">New vehicle strategy execution risk. </w:t>
      </w:r>
      <w:r>
        <w:rPr>
          <w:rFonts w:ascii="Calibri" w:hAnsi="Calibri"/>
          <w:color w:val="525866"/>
          <w:sz w:val="22"/>
        </w:rPr>
        <w:t>The Stellantis dealership acquisitions and Slate Auto warrant represent a meaningful strategic pivot. If management provides more detail on the Q2 call and the economics are unclear or the capital requirements are larger than expected, the market could react negatively to the distraction from the core used vehicle business.</w:t>
      </w:r>
    </w:p>
    <w:p>
      <w:pPr>
        <w:pStyle w:val="ListBullet"/>
        <w:ind w:left="360" w:hanging="360"/>
      </w:pPr>
      <w:r>
        <w:rPr>
          <w:rFonts w:ascii="Calibri" w:hAnsi="Calibri"/>
          <w:b/>
          <w:color w:val="525866"/>
          <w:sz w:val="22"/>
        </w:rPr>
        <w:t xml:space="preserve">Consumer credit deterioration. </w:t>
      </w:r>
      <w:r>
        <w:rPr>
          <w:rFonts w:ascii="Calibri" w:hAnsi="Calibri"/>
          <w:color w:val="525866"/>
          <w:sz w:val="22"/>
        </w:rPr>
        <w:t>KMX flagged elevated auto delinquencies and GM Financial saw a 14% YoY decline in EBT. If CVNA’s finance/ancillary GPU is pressured beyond the already-flagged headwind from lower interest rates passed to customers, the “other GPU” line could disappoint.</w:t>
      </w:r>
    </w:p>
    <w:p>
      <w:pPr>
        <w:pStyle w:val="ListBullet"/>
        <w:ind w:left="360" w:hanging="360"/>
      </w:pPr>
      <w:r>
        <w:rPr>
          <w:rFonts w:ascii="Calibri" w:hAnsi="Calibri"/>
          <w:b/>
          <w:color w:val="525866"/>
          <w:sz w:val="22"/>
        </w:rPr>
        <w:t xml:space="preserve">Macro / fuel price headwinds. </w:t>
      </w:r>
      <w:r>
        <w:rPr>
          <w:rFonts w:ascii="Calibri" w:hAnsi="Calibri"/>
          <w:color w:val="525866"/>
          <w:sz w:val="22"/>
        </w:rPr>
        <w:t>Management flagged higher fuel prices as a “some impact” headwind on inbound transport costs and operations expense in Q2. Geopolitical tensions (Middle East) cited by Ford and GM as a risk to industry demand could also weigh on consumer confidence.</w:t>
      </w:r>
    </w:p>
    <w:p>
      <w:pPr>
        <w:pStyle w:val="Heading3"/>
      </w:pPr>
      <w:r>
        <w:rPr>
          <w:rFonts w:ascii="Calibri" w:hAnsi="Calibri"/>
          <w:b/>
          <w:color w:val="3B4259"/>
          <w:sz w:val="24"/>
        </w:rPr>
        <w:t>Key Earnings Call Questions to Watch</w:t>
      </w:r>
    </w:p>
    <w:p>
      <w:pPr>
        <w:pStyle w:val="ListNumber"/>
        <w:ind w:left="360" w:hanging="360"/>
      </w:pPr>
      <w:r>
        <w:rPr>
          <w:rFonts w:ascii="Calibri" w:hAnsi="Calibri"/>
          <w:b/>
          <w:color w:val="525866"/>
          <w:sz w:val="22"/>
        </w:rPr>
        <w:t xml:space="preserve">Retail GPU: </w:t>
      </w:r>
      <w:r>
        <w:rPr>
          <w:rFonts w:ascii="Calibri" w:hAnsi="Calibri"/>
          <w:color w:val="525866"/>
          <w:sz w:val="22"/>
        </w:rPr>
        <w:t>Where did retail GPU land in Q2, and how much of the $100–$200 wholesale-to-retail spread compression headwind materialized? Is the spread compression resolving as expected, or is it persisting into Q3?</w:t>
      </w:r>
    </w:p>
    <w:p>
      <w:pPr>
        <w:pStyle w:val="ListNumber"/>
        <w:ind w:left="360" w:hanging="360"/>
      </w:pPr>
      <w:r>
        <w:rPr>
          <w:rFonts w:ascii="Calibri" w:hAnsi="Calibri"/>
          <w:b/>
          <w:color w:val="525866"/>
          <w:sz w:val="22"/>
        </w:rPr>
        <w:t xml:space="preserve">New Vehicle Strategy: </w:t>
      </w:r>
      <w:r>
        <w:rPr>
          <w:rFonts w:ascii="Calibri" w:hAnsi="Calibri"/>
          <w:color w:val="525866"/>
          <w:sz w:val="22"/>
        </w:rPr>
        <w:t>What is the strategic rationale for the seven Stellantis dealerships? What is the financial model — are these expected to be accretive, dilutive, or neutral to EBITDA per unit? What is the connection to Slate Auto, and when will management provide formal guidance on this initiative?</w:t>
      </w:r>
    </w:p>
    <w:p>
      <w:pPr>
        <w:pStyle w:val="ListNumber"/>
        <w:ind w:left="360" w:hanging="360"/>
      </w:pPr>
      <w:r>
        <w:rPr>
          <w:rFonts w:ascii="Calibri" w:hAnsi="Calibri"/>
          <w:b/>
          <w:color w:val="525866"/>
          <w:sz w:val="22"/>
        </w:rPr>
        <w:t xml:space="preserve">Reconditioning: </w:t>
      </w:r>
      <w:r>
        <w:rPr>
          <w:rFonts w:ascii="Calibri" w:hAnsi="Calibri"/>
          <w:color w:val="525866"/>
          <w:sz w:val="22"/>
        </w:rPr>
        <w:t>How did reconditioning labor efficiency trend through Q2 as the network scaled to all-time record units? Are the new centralized planning tools delivering the “fundamental gains” management described on the Q1 call?</w:t>
      </w:r>
    </w:p>
    <w:p>
      <w:pPr>
        <w:pStyle w:val="ListNumber"/>
        <w:ind w:left="360" w:hanging="360"/>
      </w:pPr>
      <w:r>
        <w:rPr>
          <w:rFonts w:ascii="Calibri" w:hAnsi="Calibri"/>
          <w:b/>
          <w:color w:val="525866"/>
          <w:sz w:val="22"/>
        </w:rPr>
        <w:t xml:space="preserve">Q3 and Full-Year Guidance: </w:t>
      </w:r>
      <w:r>
        <w:rPr>
          <w:rFonts w:ascii="Calibri" w:hAnsi="Calibri"/>
          <w:color w:val="525866"/>
          <w:sz w:val="22"/>
        </w:rPr>
        <w:t>Will management provide explicit Q3 guidance (sequential records again?) and update the full-year framework? What is the trajectory of EBITDA margin toward the 13.5% long-term target?</w:t>
      </w:r>
    </w:p>
    <w:p>
      <w:pPr>
        <w:pStyle w:val="ListNumber"/>
        <w:ind w:left="360" w:hanging="360"/>
      </w:pPr>
      <w:r>
        <w:rPr>
          <w:rFonts w:ascii="Calibri" w:hAnsi="Calibri"/>
          <w:b/>
          <w:color w:val="525866"/>
          <w:sz w:val="22"/>
        </w:rPr>
        <w:t xml:space="preserve">ADESA Integration Progress: </w:t>
      </w:r>
      <w:r>
        <w:rPr>
          <w:rFonts w:ascii="Calibri" w:hAnsi="Calibri"/>
          <w:color w:val="525866"/>
          <w:sz w:val="22"/>
        </w:rPr>
        <w:t>How many of the 6–8 planned ADESA site integrations for 2026 have been completed? Are the full build-outs of select ADESA sites on track, and what is the CapEx cadence?</w:t>
      </w:r>
    </w:p>
    <w:p>
      <w:pPr>
        <w:pStyle w:val="ListNumber"/>
        <w:ind w:left="360" w:hanging="360"/>
      </w:pPr>
      <w:r>
        <w:rPr>
          <w:rFonts w:ascii="Calibri" w:hAnsi="Calibri"/>
          <w:b/>
          <w:color w:val="525866"/>
          <w:sz w:val="22"/>
        </w:rPr>
        <w:t xml:space="preserve">Finance/Ancillary GPU: </w:t>
      </w:r>
      <w:r>
        <w:rPr>
          <w:rFonts w:ascii="Calibri" w:hAnsi="Calibri"/>
          <w:color w:val="525866"/>
          <w:sz w:val="22"/>
        </w:rPr>
        <w:t>The decision to pass financing gains to customers via lower interest rates was a headwind in Q1. Is this policy continuing in Q2, and what is the outlook for “other GPU” as interest rates and attach rates evolve?</w:t>
      </w:r>
    </w:p>
    <w:p>
      <w:pPr>
        <w:pStyle w:val="ListNumber"/>
        <w:ind w:left="360" w:hanging="360"/>
      </w:pPr>
      <w:r>
        <w:rPr>
          <w:rFonts w:ascii="Calibri" w:hAnsi="Calibri"/>
          <w:b/>
          <w:color w:val="525866"/>
          <w:sz w:val="22"/>
        </w:rPr>
        <w:t xml:space="preserve">Balance Sheet / Capital Allocation: </w:t>
      </w:r>
      <w:r>
        <w:rPr>
          <w:rFonts w:ascii="Calibri" w:hAnsi="Calibri"/>
          <w:color w:val="525866"/>
          <w:sz w:val="22"/>
        </w:rPr>
        <w:t>Net debt to TTM Adjusted EBITDA was 1.1x at Q1 end — the strongest position ever. With the balance sheet in excellent shape, what is the capital allocation priority: facility build-outs, debt paydown, or something else (e.g., Slate Auto investment)?</w:t>
      </w:r>
    </w:p>
    <w:p>
      <w:r>
        <w:br w:type="page"/>
      </w:r>
    </w:p>
    <w:p>
      <w:pPr>
        <w:pStyle w:val="Heading2"/>
      </w:pPr>
      <w:r>
        <w:rPr>
          <w:rFonts w:ascii="Calibri" w:hAnsi="Calibri"/>
          <w:b/>
          <w:color w:val="3B4259"/>
          <w:sz w:val="28"/>
        </w:rPr>
        <w:t>Appendix: Valuation Context</w:t>
      </w:r>
    </w:p>
    <w:p>
      <w:r>
        <w:rPr>
          <w:rFonts w:ascii="Calibri" w:hAnsi="Calibri"/>
          <w:b/>
          <w:color w:val="525866"/>
          <w:sz w:val="22"/>
        </w:rPr>
        <w:t xml:space="preserve">NTM EV/EBITDA: </w:t>
      </w:r>
      <w:r>
        <w:rPr>
          <w:rFonts w:ascii="Calibri" w:hAnsi="Calibri"/>
          <w:color w:val="525866"/>
          <w:sz w:val="22"/>
        </w:rPr>
        <w:t>14.2x (as of July 28, 2026), down from ~20x at Q1 earnings (April 29, 2026) — a ~29% multiple contraction over the period. This compression occurred despite essentially flat consensus estimates, confirming that the stock’s ~19% underperformance since Q1 earnings is a sentiment/multiple story, not an earnings revision story. At 14x NTM EV/EBITDA, CVNA trades at a meaningful premium to traditional auto retailers (typically 5–8x) but at a significant discount to its own recent peak (~24x six months ago). The current multiple implies the market is pricing in execution risk around the new vehicle strategy and GPU trajectory rather than the long-term 3M unit / 13.5% EBITDA margin target.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CVNA Price Change</w:t>
            </w:r>
          </w:p>
        </w:tc>
        <w:tc>
          <w:tcPr>
            <w:tcW w:type="dxa" w:w="1440"/>
            <w:shd w:val="clear" w:color="auto" w:fill="3B4259"/>
          </w:tcPr>
          <w:p>
            <w:r>
              <w:rPr>
                <w:rFonts w:ascii="Calibri" w:hAnsi="Calibri"/>
                <w:b/>
                <w:color w:val="FFFFFF"/>
                <w:sz w:val="22"/>
              </w:rPr>
              <w:t>NTM EV/EBITDA at Start</w:t>
            </w:r>
          </w:p>
        </w:tc>
        <w:tc>
          <w:tcPr>
            <w:tcW w:type="dxa" w:w="1440"/>
            <w:shd w:val="clear" w:color="auto" w:fill="3B4259"/>
          </w:tcPr>
          <w:p>
            <w:r>
              <w:rPr>
                <w:rFonts w:ascii="Calibri" w:hAnsi="Calibri"/>
                <w:b/>
                <w:color w:val="FFFFFF"/>
                <w:sz w:val="22"/>
              </w:rPr>
              <w:t>NTM EV/EBITDA Now (14.2x)</w:t>
            </w:r>
          </w:p>
        </w:tc>
        <w:tc>
          <w:tcPr>
            <w:tcW w:type="dxa" w:w="1440"/>
            <w:shd w:val="clear" w:color="auto" w:fill="3B4259"/>
          </w:tcPr>
          <w:p>
            <w:r>
              <w:rPr>
                <w:rFonts w:ascii="Calibri" w:hAnsi="Calibri"/>
                <w:b/>
                <w:color w:val="FFFFFF"/>
                <w:sz w:val="22"/>
              </w:rPr>
              <w:t>Multiple Change</w:t>
            </w:r>
          </w:p>
        </w:tc>
        <w:tc>
          <w:tcPr>
            <w:tcW w:type="dxa" w:w="1440"/>
            <w:shd w:val="clear" w:color="auto" w:fill="3B4259"/>
          </w:tcPr>
          <w:p>
            <w:r>
              <w:rPr>
                <w:rFonts w:ascii="Calibri" w:hAnsi="Calibri"/>
                <w:b/>
                <w:color w:val="FFFFFF"/>
                <w:sz w:val="22"/>
              </w:rPr>
              <w:t>Interpretation</w:t>
            </w:r>
          </w:p>
        </w:tc>
      </w:tr>
      <w:tr>
        <w:tc>
          <w:tcPr>
            <w:tcW w:type="dxa" w:w="1440"/>
          </w:tcPr>
          <w:p>
            <w:r>
              <w:rPr>
                <w:rFonts w:ascii="Calibri" w:hAnsi="Calibri"/>
                <w:sz w:val="22"/>
              </w:rPr>
              <w:t>1 Month</w:t>
            </w:r>
          </w:p>
        </w:tc>
        <w:tc>
          <w:tcPr>
            <w:tcW w:type="dxa" w:w="1440"/>
          </w:tcPr>
          <w:p>
            <w:r>
              <w:rPr>
                <w:rFonts w:ascii="Calibri" w:hAnsi="Calibri"/>
                <w:sz w:val="22"/>
              </w:rPr>
              <w:t>+6.0%</w:t>
            </w:r>
          </w:p>
        </w:tc>
        <w:tc>
          <w:tcPr>
            <w:tcW w:type="dxa" w:w="1440"/>
          </w:tcPr>
          <w:p>
            <w:r>
              <w:rPr>
                <w:rFonts w:ascii="Calibri" w:hAnsi="Calibri"/>
                <w:sz w:val="22"/>
              </w:rPr>
              <w:t>~15.0x</w:t>
            </w:r>
          </w:p>
        </w:tc>
        <w:tc>
          <w:tcPr>
            <w:tcW w:type="dxa" w:w="1440"/>
          </w:tcPr>
          <w:p>
            <w:r>
              <w:rPr>
                <w:rFonts w:ascii="Calibri" w:hAnsi="Calibri"/>
                <w:sz w:val="22"/>
              </w:rPr>
              <w:t>14.2x</w:t>
            </w:r>
          </w:p>
        </w:tc>
        <w:tc>
          <w:tcPr>
            <w:tcW w:type="dxa" w:w="1440"/>
          </w:tcPr>
          <w:p>
            <w:r>
              <w:rPr>
                <w:rFonts w:ascii="Calibri" w:hAnsi="Calibri"/>
                <w:sz w:val="22"/>
              </w:rPr>
              <w:t>-5.1%</w:t>
            </w:r>
          </w:p>
        </w:tc>
        <w:tc>
          <w:tcPr>
            <w:tcW w:type="dxa" w:w="1440"/>
          </w:tcPr>
          <w:p>
            <w:r>
              <w:rPr>
                <w:rFonts w:ascii="Calibri" w:hAnsi="Calibri"/>
                <w:sz w:val="22"/>
              </w:rPr>
              <w:t>Price up on earnings recovery; multiple still compressing</w:t>
            </w:r>
          </w:p>
        </w:tc>
      </w:tr>
      <w:tr>
        <w:tc>
          <w:tcPr>
            <w:tcW w:type="dxa" w:w="1440"/>
          </w:tcPr>
          <w:p>
            <w:r>
              <w:rPr>
                <w:rFonts w:ascii="Calibri" w:hAnsi="Calibri"/>
                <w:sz w:val="22"/>
              </w:rPr>
              <w:t>3 Months</w:t>
            </w:r>
          </w:p>
        </w:tc>
        <w:tc>
          <w:tcPr>
            <w:tcW w:type="dxa" w:w="1440"/>
          </w:tcPr>
          <w:p>
            <w:r>
              <w:rPr>
                <w:rFonts w:ascii="Calibri" w:hAnsi="Calibri"/>
                <w:sz w:val="22"/>
              </w:rPr>
              <w:t>-18.8%</w:t>
            </w:r>
          </w:p>
        </w:tc>
        <w:tc>
          <w:tcPr>
            <w:tcW w:type="dxa" w:w="1440"/>
          </w:tcPr>
          <w:p>
            <w:r>
              <w:rPr>
                <w:rFonts w:ascii="Calibri" w:hAnsi="Calibri"/>
                <w:sz w:val="22"/>
              </w:rPr>
              <w:t>~19.7x</w:t>
            </w:r>
          </w:p>
        </w:tc>
        <w:tc>
          <w:tcPr>
            <w:tcW w:type="dxa" w:w="1440"/>
          </w:tcPr>
          <w:p>
            <w:r>
              <w:rPr>
                <w:rFonts w:ascii="Calibri" w:hAnsi="Calibri"/>
                <w:sz w:val="22"/>
              </w:rPr>
              <w:t>14.2x</w:t>
            </w:r>
          </w:p>
        </w:tc>
        <w:tc>
          <w:tcPr>
            <w:tcW w:type="dxa" w:w="1440"/>
          </w:tcPr>
          <w:p>
            <w:r>
              <w:rPr>
                <w:rFonts w:ascii="Calibri" w:hAnsi="Calibri"/>
                <w:sz w:val="22"/>
              </w:rPr>
              <w:t>-27.8%</w:t>
            </w:r>
          </w:p>
        </w:tc>
        <w:tc>
          <w:tcPr>
            <w:tcW w:type="dxa" w:w="1440"/>
          </w:tcPr>
          <w:p>
            <w:r>
              <w:rPr>
                <w:rFonts w:ascii="Calibri" w:hAnsi="Calibri"/>
                <w:sz w:val="22"/>
              </w:rPr>
              <w:t>Multiple compression dominant driver of underperformance</w:t>
            </w:r>
          </w:p>
        </w:tc>
      </w:tr>
      <w:tr>
        <w:tc>
          <w:tcPr>
            <w:tcW w:type="dxa" w:w="1440"/>
          </w:tcPr>
          <w:p>
            <w:r>
              <w:rPr>
                <w:rFonts w:ascii="Calibri" w:hAnsi="Calibri"/>
                <w:sz w:val="22"/>
              </w:rPr>
              <w:t>6 Months</w:t>
            </w:r>
          </w:p>
        </w:tc>
        <w:tc>
          <w:tcPr>
            <w:tcW w:type="dxa" w:w="1440"/>
          </w:tcPr>
          <w:p>
            <w:r>
              <w:rPr>
                <w:rFonts w:ascii="Calibri" w:hAnsi="Calibri"/>
                <w:sz w:val="22"/>
              </w:rPr>
              <w:t>-30.2%</w:t>
            </w:r>
          </w:p>
        </w:tc>
        <w:tc>
          <w:tcPr>
            <w:tcW w:type="dxa" w:w="1440"/>
          </w:tcPr>
          <w:p>
            <w:r>
              <w:rPr>
                <w:rFonts w:ascii="Calibri" w:hAnsi="Calibri"/>
                <w:sz w:val="22"/>
              </w:rPr>
              <w:t>~23.9x</w:t>
            </w:r>
          </w:p>
        </w:tc>
        <w:tc>
          <w:tcPr>
            <w:tcW w:type="dxa" w:w="1440"/>
          </w:tcPr>
          <w:p>
            <w:r>
              <w:rPr>
                <w:rFonts w:ascii="Calibri" w:hAnsi="Calibri"/>
                <w:sz w:val="22"/>
              </w:rPr>
              <w:t>14.2x</w:t>
            </w:r>
          </w:p>
        </w:tc>
        <w:tc>
          <w:tcPr>
            <w:tcW w:type="dxa" w:w="1440"/>
          </w:tcPr>
          <w:p>
            <w:r>
              <w:rPr>
                <w:rFonts w:ascii="Calibri" w:hAnsi="Calibri"/>
                <w:sz w:val="22"/>
              </w:rPr>
              <w:t>-40.4%</w:t>
            </w:r>
          </w:p>
        </w:tc>
        <w:tc>
          <w:tcPr>
            <w:tcW w:type="dxa" w:w="1440"/>
          </w:tcPr>
          <w:p>
            <w:r>
              <w:rPr>
                <w:rFonts w:ascii="Calibri" w:hAnsi="Calibri"/>
                <w:sz w:val="22"/>
              </w:rPr>
              <w:t>Significant de-rating; estimates flat; pure sentiment/multiple story</w:t>
            </w:r>
          </w:p>
        </w:tc>
      </w:tr>
      <w:tr>
        <w:tc>
          <w:tcPr>
            <w:tcW w:type="dxa" w:w="1440"/>
          </w:tcPr>
          <w:p>
            <w:r>
              <w:rPr>
                <w:rFonts w:ascii="Calibri" w:hAnsi="Calibri"/>
                <w:sz w:val="22"/>
              </w:rPr>
              <w:t>12 Months</w:t>
            </w:r>
          </w:p>
        </w:tc>
        <w:tc>
          <w:tcPr>
            <w:tcW w:type="dxa" w:w="1440"/>
          </w:tcPr>
          <w:p>
            <w:r>
              <w:rPr>
                <w:rFonts w:ascii="Calibri" w:hAnsi="Calibri"/>
                <w:sz w:val="22"/>
              </w:rPr>
              <w:t>-0.5%</w:t>
            </w:r>
          </w:p>
        </w:tc>
        <w:tc>
          <w:tcPr>
            <w:tcW w:type="dxa" w:w="1440"/>
          </w:tcPr>
          <w:p>
            <w:r>
              <w:rPr>
                <w:rFonts w:ascii="Calibri" w:hAnsi="Calibri"/>
                <w:sz w:val="22"/>
              </w:rPr>
              <w:t>~19.9x</w:t>
            </w:r>
          </w:p>
        </w:tc>
        <w:tc>
          <w:tcPr>
            <w:tcW w:type="dxa" w:w="1440"/>
          </w:tcPr>
          <w:p>
            <w:r>
              <w:rPr>
                <w:rFonts w:ascii="Calibri" w:hAnsi="Calibri"/>
                <w:sz w:val="22"/>
              </w:rPr>
              <w:t>14.2x</w:t>
            </w:r>
          </w:p>
        </w:tc>
        <w:tc>
          <w:tcPr>
            <w:tcW w:type="dxa" w:w="1440"/>
          </w:tcPr>
          <w:p>
            <w:r>
              <w:rPr>
                <w:rFonts w:ascii="Calibri" w:hAnsi="Calibri"/>
                <w:sz w:val="22"/>
              </w:rPr>
              <w:t>-28.5%</w:t>
            </w:r>
          </w:p>
        </w:tc>
        <w:tc>
          <w:tcPr>
            <w:tcW w:type="dxa" w:w="1440"/>
          </w:tcPr>
          <w:p>
            <w:r>
              <w:rPr>
                <w:rFonts w:ascii="Calibri" w:hAnsi="Calibri"/>
                <w:sz w:val="22"/>
              </w:rPr>
              <w:t>Flat price masks significant multiple compression offset by earnings growth</w:t>
            </w:r>
          </w:p>
        </w:tc>
      </w:tr>
    </w:tbl>
    <w:p>
      <w:r>
        <w:rPr>
          <w:rFonts w:ascii="Calibri" w:hAnsi="Calibri"/>
          <w:i/>
          <w:color w:val="525866"/>
          <w:sz w:val="22"/>
        </w:rPr>
        <w:t>Source: Implied Platform — Stock Performance Decomposition (NTM EV/EBITDA). All multiples on a next-twelve-months consensus basis.</w:t>
      </w:r>
    </w:p>
    <w:p>
      <w:r>
        <w:rPr>
          <w:rFonts w:ascii="Calibri" w:hAnsi="Calibri"/>
          <w:b/>
          <w:color w:val="525866"/>
          <w:sz w:val="22"/>
        </w:rPr>
        <w:t xml:space="preserve">Disclaimer: </w:t>
      </w:r>
      <w:r>
        <w:rPr>
          <w:rFonts w:ascii="Calibri" w:hAnsi="Calibri"/>
          <w:i/>
          <w:color w:val="525866"/>
          <w:sz w:val="22"/>
        </w:rPr>
        <w:t>This document is prepared for informational purposes only and does not constitute investment advice. All consensus estimates sourced from Visible Alpha. All stock price data sourced from Yahoo Finance. Insider transaction data sourced from SEC EDGAR Form 4 filings. Prepared July 28,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