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x-earnings-predictions--2026-07-31"/>
    <w:p>
      <w:pPr>
        <w:pStyle w:val="Heading1"/>
      </w:pPr>
      <w:r>
        <w:t xml:space="preserve">CVX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5.65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 (MBOED)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~3,950 vs. cons ~3,880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2.75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h</m:t>
              </m:r>
              <m:r>
                <m:t>o</m:t>
              </m:r>
              <m:r>
                <m:t>p</m:t>
              </m:r>
              <m:r>
                <m:t>e</m:t>
              </m:r>
              <m:r>
                <m:t>s</m:t>
              </m:r>
              <m:r>
                <m:t> </m:t>
              </m:r>
            </m:oMath>
            <w:r>
              <w:t xml:space="preserve">3.25B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budget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~7-10% vs. cons ~8%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TCO free cash flow / affiliate distributions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6B (FY2026, set at $60-70 Brent, upside at spot)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Microsoft West Texas power project FID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FID ~H2 2026 vs. cons ~0 offtake modeled (2026)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war-driven blockbuster beat is largely priced in (stock near 52-wk-relative highs, +23% YTD) and capital-allocation discipline (buyback held at</w:t>
            </w:r>
            <w:r>
              <w:t xml:space="preserve"> </w:t>
            </w:r>
            <m:oMath>
              <m:r>
                <m:t>2.5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c</m:t>
              </m:r>
              <m:r>
                <m:t>a</m:t>
              </m:r>
              <m:r>
                <m:t>p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t>i</m:t>
              </m:r>
              <m:r>
                <m:t>s</m:t>
              </m:r>
              <m:r>
                <m:t>a</m:t>
              </m:r>
              <m:r>
                <m:t>t</m:t>
              </m:r>
              <m:r>
                <m:t>w</m:t>
              </m:r>
              <m:r>
                <m:t>o</m:t>
              </m:r>
              <m:r>
                <m:rPr>
                  <m:sty m:val="p"/>
                </m:rPr>
                <m:t>−</m:t>
              </m:r>
              <m:r>
                <m:t>w</m:t>
              </m:r>
              <m:r>
                <m:t>a</m:t>
              </m:r>
              <m:r>
                <m:t>y</m:t>
              </m:r>
              <m:r>
                <m:t>w</m:t>
              </m:r>
              <m:r>
                <m:t>a</m:t>
              </m:r>
              <m:r>
                <m:t>s</m:t>
              </m:r>
              <m:r>
                <m:t>h</m:t>
              </m:r>
              <m:r>
                <m:t>r</m:t>
              </m:r>
              <m:r>
                <m:t>a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a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r</m:t>
              </m:r>
              <m:r>
                <m:t>c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:</m:t>
              </m:r>
              <m:r>
                <m:t>f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t</m:t>
              </m:r>
              <m:r>
                <m:t>a</m:t>
              </m:r>
              <m:r>
                <m:t>i</m:t>
              </m:r>
              <m:r>
                <m:t>l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80</m:t>
              </m:r>
            </m:oMath>
            <w:r>
              <w:t xml:space="preserve">1B timing-effect unwind, H2 working-capital release, affiliate/TCO distributions struck at $60-70 Brent with spot upside) push FY/Q3 estimates up, while peak-earnings skepticism and Hormuz-reopening/ceasefire risk pull them the other way. Net: the day-1 idiosyncratic gain roughly holds rather than compounding or fully fading.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2026-07-31T00:35:38Z</dcterms:created>
  <dcterms:modified xsi:type="dcterms:W3CDTF">2026-07-31T00:35:38Z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