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CVX before writing the preview. Let me gather recent earnings, filings, news, and stock price data.Let me read the Q1 2026 earnings materials and gather more context.Let me get the latest energy macro context and analyst expectations.I have enough to write a comprehensive preview. Let me compile the stock performance quickly.Here is the earnings preview.</w:t>
      </w:r>
    </w:p>
    <w:p>
      <w:r>
        <w:pict>
          <v:rect style="width:0;height:1.5pt" o:hralign="center" o:hrstd="t" o:hr="t"/>
        </w:pict>
      </w:r>
    </w:p>
    <w:bookmarkStart w:id="16" w:name="chevron-cvx--q2-2026-earnings-preview"/>
    <w:p>
      <w:pPr>
        <w:pStyle w:val="Heading1"/>
      </w:pPr>
      <w:r>
        <w:t xml:space="preserve">Chevron (CVX) — Q2 2026 Earnings Preview</w:t>
      </w:r>
    </w:p>
    <w:p>
      <w:pPr>
        <w:pStyle w:val="FirstParagraph"/>
      </w:pPr>
      <w:r>
        <w:rPr>
          <w:b/>
          <w:bCs/>
        </w:rPr>
        <w:t xml:space="preserve">Report:</w:t>
      </w:r>
      <w:r>
        <w:t xml:space="preserve"> </w:t>
      </w:r>
      <w:r>
        <w:t xml:space="preserve">Friday, July 31, 2026 (before market open) ·</w:t>
      </w:r>
      <w:r>
        <w:t xml:space="preserve"> </w:t>
      </w:r>
      <w:r>
        <w:rPr>
          <w:b/>
          <w:bCs/>
        </w:rPr>
        <w:t xml:space="preserve">Event:</w:t>
      </w:r>
      <w:r>
        <w:t xml:space="preserve"> </w:t>
      </w:r>
      <w:r>
        <w:t xml:space="preserve">2026Q2 Earnings Call ·</w:t>
      </w:r>
      <w:r>
        <w:t xml:space="preserve"> </w:t>
      </w:r>
      <w:r>
        <w:rPr>
          <w:b/>
          <w:bCs/>
        </w:rPr>
        <w:t xml:space="preserve">Recent price:</w:t>
      </w:r>
      <w:r>
        <w:t xml:space="preserve"> </w:t>
      </w:r>
      <w:r>
        <w:t xml:space="preserve">~$192 ·</w:t>
      </w:r>
      <w:r>
        <w:t xml:space="preserve"> </w:t>
      </w:r>
      <w:r>
        <w:rPr>
          <w:b/>
          <w:bCs/>
        </w:rPr>
        <w:t xml:space="preserve">YTD:</w:t>
      </w:r>
      <w:r>
        <w:t xml:space="preserve"> </w:t>
      </w:r>
      <w:r>
        <w:t xml:space="preserve">+23%</w:t>
      </w:r>
    </w:p>
    <w:bookmarkStart w:id="9" w:name="the-one-line-setup"/>
    <w:p>
      <w:pPr>
        <w:pStyle w:val="Heading2"/>
      </w:pPr>
      <w:r>
        <w:t xml:space="preserve">The one-line setup</w:t>
      </w:r>
    </w:p>
    <w:p>
      <w:pPr>
        <w:pStyle w:val="FirstParagraph"/>
      </w:pPr>
      <w:r>
        <w:t xml:space="preserve">This is shaping up to be Chevron's most important — and most unusual — print in years. An active</w:t>
      </w:r>
      <w:r>
        <w:t xml:space="preserve"> </w:t>
      </w:r>
      <w:r>
        <w:rPr>
          <w:b/>
          <w:bCs/>
        </w:rPr>
        <w:t xml:space="preserve">U.S.–Iran war</w:t>
      </w:r>
      <w:r>
        <w:t xml:space="preserve"> </w:t>
      </w:r>
      <w:r>
        <w:t xml:space="preserve">has essentially halted tanker traffic through the Strait of Hormuz, spiking crude and refining/chemical margins. The Street is modeling a</w:t>
      </w:r>
      <w:r>
        <w:t xml:space="preserve"> </w:t>
      </w:r>
      <w:r>
        <w:rPr>
          <w:b/>
          <w:bCs/>
        </w:rPr>
        <w:t xml:space="preserve">blockbuster quarter</w:t>
      </w:r>
      <w:r>
        <w:t xml:space="preserve">, so the bar is high. The bigger questions are (1) how much of the windfall drops through given Q1's messy timing effects, and (2) what Chevron does with a surge of cash it has so far refused to spend pro-cyclically.</w:t>
      </w:r>
    </w:p>
    <w:p>
      <w:r>
        <w:pict>
          <v:rect style="width:0;height:1.5pt" o:hralign="center" o:hrstd="t" o:hr="t"/>
        </w:pict>
      </w:r>
    </w:p>
    <w:bookmarkEnd w:id="9"/>
    <w:bookmarkStart w:id="10" w:name="what-the-street-expects"/>
    <w:p>
      <w:pPr>
        <w:pStyle w:val="Heading2"/>
      </w:pPr>
      <w:r>
        <w:t xml:space="preserve">What the Street expects</w:t>
      </w:r>
    </w:p>
    <w:p>
      <w:pPr>
        <w:pStyle w:val="Compact"/>
        <w:numPr>
          <w:ilvl w:val="0"/>
          <w:numId w:val="1001"/>
        </w:numPr>
      </w:pPr>
      <w:r>
        <w:rPr>
          <w:b/>
          <w:bCs/>
        </w:rPr>
        <w:t xml:space="preserve">Revenue:</w:t>
      </w:r>
      <w:r>
        <w:t xml:space="preserve"> </w:t>
      </w:r>
      <w:r>
        <w:t xml:space="preserve">consensus clusters around **</w:t>
      </w:r>
      <m:oMath>
        <m:r>
          <m:t>57</m:t>
        </m:r>
        <m:r>
          <m:rPr>
            <m:sty m:val="p"/>
          </m:rPr>
          <m:t>–</m:t>
        </m:r>
        <m:r>
          <m:t>62</m:t>
        </m:r>
        <m:r>
          <m:t>b</m:t>
        </m:r>
        <m:r>
          <m:t>i</m:t>
        </m:r>
        <m:r>
          <m:t>l</m:t>
        </m:r>
        <m:r>
          <m:t>l</m:t>
        </m:r>
        <m:r>
          <m:t>i</m:t>
        </m:r>
        <m:r>
          <m:t>o</m:t>
        </m:r>
        <m:r>
          <m:t>n</m:t>
        </m:r>
        <m:r>
          <m:rPr>
            <m:sty m:val="p"/>
          </m:rPr>
          <m:t>*</m:t>
        </m:r>
        <m:r>
          <m:rPr>
            <m:sty m:val="p"/>
          </m:rPr>
          <m:t>*</m:t>
        </m:r>
        <m:r>
          <m:rPr>
            <m:sty m:val="p"/>
          </m:rPr>
          <m:t>(</m:t>
        </m:r>
        <m:r>
          <m:t>Z</m:t>
        </m:r>
        <m:r>
          <m:t>a</m:t>
        </m:r>
        <m:r>
          <m:t>c</m:t>
        </m:r>
        <m:r>
          <m:t>k</m:t>
        </m:r>
        <m:r>
          <m:t>s</m:t>
        </m:r>
        <m:r>
          <m:t> </m:t>
        </m:r>
      </m:oMath>
      <w:r>
        <w:t xml:space="preserve">57.5B, Benzinga ~$62B), up roughly</w:t>
      </w:r>
      <w:r>
        <w:t xml:space="preserve"> </w:t>
      </w:r>
      <w:r>
        <w:rPr>
          <w:b/>
          <w:bCs/>
        </w:rPr>
        <w:t xml:space="preserve">28–48% YoY</w:t>
      </w:r>
      <w:r>
        <w:t xml:space="preserve"> </w:t>
      </w:r>
      <w:r>
        <w:t xml:space="preserve">— potentially Chevron's highest quarterly revenue in ~15 quarters.</w:t>
      </w:r>
    </w:p>
    <w:p>
      <w:pPr>
        <w:pStyle w:val="Compact"/>
        <w:numPr>
          <w:ilvl w:val="0"/>
          <w:numId w:val="1001"/>
        </w:numPr>
      </w:pPr>
      <w:r>
        <w:rPr>
          <w:b/>
          <w:bCs/>
        </w:rPr>
        <w:t xml:space="preserve">Adjusted EPS:</w:t>
      </w:r>
      <w:r>
        <w:t xml:space="preserve"> </w:t>
      </w:r>
      <w:r>
        <w:t xml:space="preserve">unusually wide dispersion. Street consensus sits around</w:t>
      </w:r>
      <w:r>
        <w:t xml:space="preserve"> </w:t>
      </w:r>
      <m:oMath>
        <m:r>
          <m:t>5.00</m:t>
        </m:r>
        <m:r>
          <m:rPr>
            <m:sty m:val="p"/>
          </m:rPr>
          <m:t>–</m:t>
        </m:r>
      </m:oMath>
      <w:r>
        <w:rPr>
          <w:b/>
          <w:bCs/>
        </w:rPr>
        <w:t xml:space="preserve">5.80</w:t>
      </w:r>
      <w:r>
        <w:t xml:space="preserve"> </w:t>
      </w:r>
      <w:r>
        <w:t xml:space="preserve">(Zacks ~</w:t>
      </w:r>
      <m:oMath>
        <m:r>
          <m:t>5.79</m:t>
        </m:r>
        <m:r>
          <m:rPr>
            <m:sty m:val="p"/>
          </m:rPr>
          <m:t>)</m:t>
        </m:r>
        <m:r>
          <m:rPr>
            <m:sty m:val="p"/>
          </m:rPr>
          <m:t>,</m:t>
        </m:r>
        <m:r>
          <m:t>v</m:t>
        </m:r>
        <m:r>
          <m:t>e</m:t>
        </m:r>
        <m:r>
          <m:t>r</m:t>
        </m:r>
        <m:r>
          <m:t>s</m:t>
        </m:r>
        <m:r>
          <m:t>u</m:t>
        </m:r>
        <m:r>
          <m:t>s</m:t>
        </m:r>
        <m:r>
          <m:t>r</m:t>
        </m:r>
        <m:r>
          <m:t>o</m:t>
        </m:r>
        <m:r>
          <m:t>u</m:t>
        </m:r>
        <m:r>
          <m:t>g</m:t>
        </m:r>
        <m:r>
          <m:t>h</m:t>
        </m:r>
        <m:r>
          <m:t>l</m:t>
        </m:r>
        <m:r>
          <m:t>y</m:t>
        </m:r>
        <m:r>
          <m:rPr>
            <m:sty m:val="p"/>
          </m:rPr>
          <m:t>*</m:t>
        </m:r>
        <m:r>
          <m:rPr>
            <m:sty m:val="p"/>
          </m:rPr>
          <m:t>*</m:t>
        </m:r>
      </m:oMath>
      <w:r>
        <w:t xml:space="preserve">1.77 a year ago** — a triple-digit YoY jump.</w:t>
      </w:r>
      <w:r>
        <w:t xml:space="preserve"> </w:t>
      </w:r>
      <w:r>
        <w:rPr>
          <w:b/>
          <w:bCs/>
        </w:rPr>
        <w:t xml:space="preserve">UBS is Street-high at $5.70</w:t>
      </w:r>
      <w:r>
        <w:t xml:space="preserve">, raised from $3.82, citing higher realized crude, stronger refining margins, and chemicals.</w:t>
      </w:r>
    </w:p>
    <w:p>
      <w:pPr>
        <w:pStyle w:val="Compact"/>
        <w:numPr>
          <w:ilvl w:val="0"/>
          <w:numId w:val="1001"/>
        </w:numPr>
      </w:pPr>
      <w:r>
        <w:rPr>
          <w:b/>
          <w:bCs/>
        </w:rPr>
        <w:t xml:space="preserve">Takeaway:</w:t>
      </w:r>
      <w:r>
        <w:t xml:space="preserve"> </w:t>
      </w:r>
      <w:r>
        <w:t xml:space="preserve">the eye-popping EPS growth is entirely a function of the war-driven price/margin spike. The very wide estimate range tells you consensus has low conviction on the exact number — commodity, timing, and inventory effects make this a hard quarter to model.</w:t>
      </w:r>
      <w:r>
        <w:t xml:space="preserve"> </w:t>
      </w:r>
      <w:r>
        <w:rPr>
          <w:b/>
          <w:bCs/>
        </w:rPr>
        <w:t xml:space="preserve">Watch the reaction to guidance and cash return more than the headline EPS beat/miss.</w:t>
      </w:r>
    </w:p>
    <w:p>
      <w:r>
        <w:pict>
          <v:rect style="width:0;height:1.5pt" o:hralign="center" o:hrstd="t" o:hr="t"/>
        </w:pict>
      </w:r>
    </w:p>
    <w:bookmarkEnd w:id="10"/>
    <w:bookmarkStart w:id="11" w:name="X4903bc6b7de6cded393a15e0efc238a74b47a20"/>
    <w:p>
      <w:pPr>
        <w:pStyle w:val="Heading2"/>
      </w:pPr>
      <w:r>
        <w:t xml:space="preserve">Why the tailwinds are real (and what management pre-flagged in Q1)</w:t>
      </w:r>
    </w:p>
    <w:p>
      <w:pPr>
        <w:pStyle w:val="FirstParagraph"/>
      </w:pPr>
      <w:r>
        <w:t xml:space="preserve">On the May 1 Q1 call, Chevron essentially told investors Q2 would be strong. Several tailwinds should now show up:</w:t>
      </w:r>
    </w:p>
    <w:p>
      <w:pPr>
        <w:pStyle w:val="Compact"/>
        <w:numPr>
          <w:ilvl w:val="0"/>
          <w:numId w:val="1002"/>
        </w:numPr>
      </w:pPr>
      <w:r>
        <w:rPr>
          <w:b/>
          <w:bCs/>
        </w:rPr>
        <w:t xml:space="preserve">Timing-effect reversal.</w:t>
      </w:r>
      <w:r>
        <w:t xml:space="preserve"> </w:t>
      </w:r>
      <w:r>
        <w:t xml:space="preserve">Q1 adjusted EPS of just $1.41 (reported</w:t>
      </w:r>
      <w:r>
        <w:t xml:space="preserve"> </w:t>
      </w:r>
      <m:oMath>
        <m:r>
          <m:t>1.11</m:t>
        </m:r>
        <m:r>
          <m:rPr>
            <m:sty m:val="p"/>
          </m:rPr>
          <m:t>)</m:t>
        </m:r>
        <m:r>
          <m:t>w</m:t>
        </m:r>
        <m:r>
          <m:t>a</m:t>
        </m:r>
        <m:r>
          <m:t>s</m:t>
        </m:r>
        <m:r>
          <m:t>h</m:t>
        </m:r>
        <m:r>
          <m:t>i</m:t>
        </m:r>
        <m:r>
          <m:t>t</m:t>
        </m:r>
        <m:r>
          <m:t>b</m:t>
        </m:r>
        <m:r>
          <m:t>y</m:t>
        </m:r>
        <m:r>
          <m:rPr>
            <m:sty m:val="p"/>
          </m:rPr>
          <m:t>*</m:t>
        </m:r>
        <m:r>
          <m:rPr>
            <m:sty m:val="p"/>
          </m:rPr>
          <m:t>*</m:t>
        </m:r>
        <m:r>
          <m:t> </m:t>
        </m:r>
      </m:oMath>
      <w:r>
        <w:t xml:space="preserve">2.9–3B of unfavorable timing effects** (mark-to-market on paper derivatives + LIFO inventory) as crude spiked in March. Management guided that</w:t>
      </w:r>
      <w:r>
        <w:t xml:space="preserve"> </w:t>
      </w:r>
      <w:r>
        <w:rPr>
          <w:b/>
          <w:bCs/>
        </w:rPr>
        <w:t xml:space="preserve">~$1B of paper positions would unwind in Q2</w:t>
      </w:r>
      <w:r>
        <w:t xml:space="preserve"> </w:t>
      </w:r>
      <w:r>
        <w:t xml:space="preserve">as cargoes deliver — a tailwind to reported earnings this quarter. Note the caveat: timing effects</w:t>
      </w:r>
      <w:r>
        <w:t xml:space="preserve"> </w:t>
      </w:r>
      <w:r>
        <w:rPr>
          <w:i/>
          <w:iCs/>
        </w:rPr>
        <w:t xml:space="preserve">reverse the other way if prices fall.</w:t>
      </w:r>
    </w:p>
    <w:p>
      <w:pPr>
        <w:pStyle w:val="Compact"/>
        <w:numPr>
          <w:ilvl w:val="0"/>
          <w:numId w:val="1002"/>
        </w:numPr>
      </w:pPr>
      <w:r>
        <w:rPr>
          <w:b/>
          <w:bCs/>
        </w:rPr>
        <w:t xml:space="preserve">Refining is running hot.</w:t>
      </w:r>
      <w:r>
        <w:t xml:space="preserve"> </w:t>
      </w:r>
      <w:r>
        <w:t xml:space="preserve">U.S. refineries hit</w:t>
      </w:r>
      <w:r>
        <w:t xml:space="preserve"> </w:t>
      </w:r>
      <w:r>
        <w:rPr>
          <w:b/>
          <w:bCs/>
        </w:rPr>
        <w:t xml:space="preserve">record crude throughput</w:t>
      </w:r>
      <w:r>
        <w:t xml:space="preserve"> </w:t>
      </w:r>
      <w:r>
        <w:t xml:space="preserve">and were operating at</w:t>
      </w:r>
      <w:r>
        <w:t xml:space="preserve"> </w:t>
      </w:r>
      <w:r>
        <w:rPr>
          <w:b/>
          <w:bCs/>
        </w:rPr>
        <w:t xml:space="preserve">&gt;50% equity crude</w:t>
      </w:r>
      <w:r>
        <w:t xml:space="preserve"> </w:t>
      </w:r>
      <w:r>
        <w:t xml:space="preserve">(&gt;40% in Asia) — a structural benefit of the Hess integration and the new global optimization team. Industry read-throughs are extreme: Ampol's Lytton margin</w:t>
      </w:r>
      <w:r>
        <w:t xml:space="preserve"> </w:t>
      </w:r>
      <w:r>
        <w:rPr>
          <w:b/>
          <w:bCs/>
        </w:rPr>
        <w:t xml:space="preserve">more than tripled</w:t>
      </w:r>
      <w:r>
        <w:t xml:space="preserve"> </w:t>
      </w:r>
      <w:r>
        <w:t xml:space="preserve">to ~$31/bbl.</w:t>
      </w:r>
    </w:p>
    <w:p>
      <w:pPr>
        <w:pStyle w:val="Compact"/>
        <w:numPr>
          <w:ilvl w:val="0"/>
          <w:numId w:val="1002"/>
        </w:numPr>
      </w:pPr>
      <w:r>
        <w:rPr>
          <w:b/>
          <w:bCs/>
        </w:rPr>
        <w:t xml:space="preserve">Chemicals above mid-cycle.</w:t>
      </w:r>
      <w:r>
        <w:t xml:space="preserve"> </w:t>
      </w:r>
      <w:r>
        <w:t xml:space="preserve">Management said olefins chain margins improved to "</w:t>
      </w:r>
      <w:r>
        <w:rPr>
          <w:b/>
          <w:bCs/>
        </w:rPr>
        <w:t xml:space="preserve">likely better than mid-cycle</w:t>
      </w:r>
      <w:r>
        <w:t xml:space="preserve">," with most of the move landing in Q2 — a tailwind for advantaged ethane-based CPChem.</w:t>
      </w:r>
    </w:p>
    <w:p>
      <w:pPr>
        <w:pStyle w:val="Compact"/>
        <w:numPr>
          <w:ilvl w:val="0"/>
          <w:numId w:val="1002"/>
        </w:numPr>
      </w:pPr>
      <w:r>
        <w:rPr>
          <w:b/>
          <w:bCs/>
        </w:rPr>
        <w:t xml:space="preserve">Upstream volume + affiliate cash.</w:t>
      </w:r>
      <w:r>
        <w:t xml:space="preserve"> </w:t>
      </w:r>
      <w:r>
        <w:t xml:space="preserve">U.S. production is</w:t>
      </w:r>
      <w:r>
        <w:t xml:space="preserve"> </w:t>
      </w:r>
      <w:r>
        <w:rPr>
          <w:b/>
          <w:bCs/>
        </w:rPr>
        <w:t xml:space="preserve">&gt;2M boe/d</w:t>
      </w:r>
      <w:r>
        <w:t xml:space="preserve">,</w:t>
      </w:r>
      <w:r>
        <w:t xml:space="preserve"> </w:t>
      </w:r>
      <w:r>
        <w:rPr>
          <w:b/>
          <w:bCs/>
        </w:rPr>
        <w:t xml:space="preserve">TCO is back at full rates (&gt;1M boe/d)</w:t>
      </w:r>
      <w:r>
        <w:t xml:space="preserve">, and Gorgon/Wheatstone LNG run full. Chevron</w:t>
      </w:r>
      <w:r>
        <w:t xml:space="preserve"> </w:t>
      </w:r>
      <w:r>
        <w:rPr>
          <w:b/>
          <w:bCs/>
        </w:rPr>
        <w:t xml:space="preserve">raised affiliate distribution guidance by &gt;</w:t>
      </w:r>
      <m:oMath>
        <m:r>
          <m:t>2</m:t>
        </m:r>
        <m:r>
          <m:t>B</m:t>
        </m:r>
        <m:r>
          <m:rPr>
            <m:sty m:val="p"/>
          </m:rPr>
          <m:t>*</m:t>
        </m:r>
        <m:r>
          <m:rPr>
            <m:sty m:val="p"/>
          </m:rPr>
          <m:t>*</m:t>
        </m:r>
        <m:r>
          <m:rPr>
            <m:sty m:val="p"/>
          </m:rPr>
          <m:t>(</m:t>
        </m:r>
        <m:r>
          <m:t>T</m:t>
        </m:r>
        <m:r>
          <m:t>C</m:t>
        </m:r>
        <m:r>
          <m:t>O</m:t>
        </m:r>
        <m:r>
          <m:t>n</m:t>
        </m:r>
        <m:r>
          <m:t>o</m:t>
        </m:r>
        <m:r>
          <m:t>w</m:t>
        </m:r>
        <m:r>
          <m:t>p</m:t>
        </m:r>
        <m:r>
          <m:t>a</m:t>
        </m:r>
        <m:r>
          <m:t>y</m:t>
        </m:r>
        <m:r>
          <m:t>i</m:t>
        </m:r>
        <m:r>
          <m:t>n</m:t>
        </m:r>
        <m:r>
          <m:t>g</m:t>
        </m:r>
        <m:r>
          <m:t>m</m:t>
        </m:r>
        <m:r>
          <m:t>o</m:t>
        </m:r>
        <m:r>
          <m:t>n</m:t>
        </m:r>
        <m:r>
          <m:t>t</m:t>
        </m:r>
        <m:r>
          <m:t>h</m:t>
        </m:r>
        <m:r>
          <m:t>l</m:t>
        </m:r>
        <m:r>
          <m:t>y</m:t>
        </m:r>
        <m:r>
          <m:rPr>
            <m:sty m:val="p"/>
          </m:rPr>
          <m:t>)</m:t>
        </m:r>
        <m:r>
          <m:rPr>
            <m:sty m:val="p"/>
          </m:rPr>
          <m:t>,</m:t>
        </m:r>
        <m:r>
          <m:t>a</m:t>
        </m:r>
        <m:r>
          <m:t>n</m:t>
        </m:r>
        <m:r>
          <m:t>d</m:t>
        </m:r>
        <m:r>
          <m:t>t</m:t>
        </m:r>
        <m:r>
          <m:t>h</m:t>
        </m:r>
        <m:r>
          <m:t>a</m:t>
        </m:r>
        <m:r>
          <m:t>t</m:t>
        </m:r>
        <m:r>
          <m:t>g</m:t>
        </m:r>
        <m:r>
          <m:t>u</m:t>
        </m:r>
        <m:r>
          <m:t>i</m:t>
        </m:r>
        <m:r>
          <m:t>d</m:t>
        </m:r>
        <m:r>
          <m:t>a</m:t>
        </m:r>
        <m:r>
          <m:t>n</m:t>
        </m:r>
        <m:r>
          <m:t>c</m:t>
        </m:r>
        <m:r>
          <m:t>e</m:t>
        </m:r>
        <m:r>
          <m:t>w</m:t>
        </m:r>
        <m:r>
          <m:t>a</m:t>
        </m:r>
        <m:r>
          <m:t>s</m:t>
        </m:r>
        <m:r>
          <m:t>s</m:t>
        </m:r>
        <m:r>
          <m:t>t</m:t>
        </m:r>
        <m:r>
          <m:t>r</m:t>
        </m:r>
        <m:r>
          <m:t>u</m:t>
        </m:r>
        <m:r>
          <m:t>c</m:t>
        </m:r>
        <m:r>
          <m:t>k</m:t>
        </m:r>
        <m:r>
          <m:t>a</m:t>
        </m:r>
        <m:r>
          <m:t>t</m:t>
        </m:r>
        <m:r>
          <m:rPr>
            <m:sty m:val="p"/>
          </m:rPr>
          <m:t>*</m:t>
        </m:r>
        <m:r>
          <m:rPr>
            <m:sty m:val="p"/>
          </m:rPr>
          <m:t>*</m:t>
        </m:r>
      </m:oMath>
      <w:r>
        <w:rPr>
          <w:b/>
          <w:bCs/>
        </w:rPr>
        <w:t xml:space="preserve">60 Brent</w:t>
      </w:r>
      <w:r>
        <w:t xml:space="preserve"> </w:t>
      </w:r>
      <w:r>
        <w:t xml:space="preserve">— implying upside at realized prices. Q2 total production should be</w:t>
      </w:r>
      <w:r>
        <w:t xml:space="preserve"> </w:t>
      </w:r>
      <w:r>
        <w:rPr>
          <w:b/>
          <w:bCs/>
        </w:rPr>
        <w:t xml:space="preserve">higher than Q1's 3,858 MBOED</w:t>
      </w:r>
      <w:r>
        <w:t xml:space="preserve">.</w:t>
      </w:r>
    </w:p>
    <w:p>
      <w:pPr>
        <w:pStyle w:val="Compact"/>
        <w:numPr>
          <w:ilvl w:val="0"/>
          <w:numId w:val="1002"/>
        </w:numPr>
      </w:pPr>
      <w:r>
        <w:rPr>
          <w:b/>
          <w:bCs/>
        </w:rPr>
        <w:t xml:space="preserve">LNG lag.</w:t>
      </w:r>
      <w:r>
        <w:t xml:space="preserve"> </w:t>
      </w:r>
      <w:r>
        <w:t xml:space="preserve">~80% of the LNG book is oil-linked with a lag, so the price spike flows into realizations</w:t>
      </w:r>
      <w:r>
        <w:t xml:space="preserve"> </w:t>
      </w:r>
      <w:r>
        <w:rPr>
          <w:b/>
          <w:bCs/>
        </w:rPr>
        <w:t xml:space="preserve">over the next couple of quarters</w:t>
      </w:r>
      <w:r>
        <w:t xml:space="preserve"> </w:t>
      </w:r>
      <w:r>
        <w:t xml:space="preserve">— a forward tailwind.</w:t>
      </w:r>
    </w:p>
    <w:p>
      <w:r>
        <w:pict>
          <v:rect style="width:0;height:1.5pt" o:hralign="center" o:hrstd="t" o:hr="t"/>
        </w:pict>
      </w:r>
    </w:p>
    <w:bookmarkEnd w:id="11"/>
    <w:bookmarkStart w:id="12" w:name="Xae72f027871ba46b2fcee2d401a6f86274ae08b"/>
    <w:p>
      <w:pPr>
        <w:pStyle w:val="Heading2"/>
      </w:pPr>
      <w:r>
        <w:t xml:space="preserve">The capital-allocation question (the real debate)</w:t>
      </w:r>
    </w:p>
    <w:p>
      <w:pPr>
        <w:pStyle w:val="FirstParagraph"/>
      </w:pPr>
      <w:r>
        <w:t xml:space="preserve">Chevron has been deliberately</w:t>
      </w:r>
      <w:r>
        <w:t xml:space="preserve"> </w:t>
      </w:r>
      <w:r>
        <w:rPr>
          <w:b/>
          <w:bCs/>
        </w:rPr>
        <w:t xml:space="preserve">not pro-cyclical</w:t>
      </w:r>
      <w:r>
        <w:t xml:space="preserve">, and investors want to know if that changes with cash pouring in:</w:t>
      </w:r>
    </w:p>
    <w:p>
      <w:pPr>
        <w:pStyle w:val="Compact"/>
        <w:numPr>
          <w:ilvl w:val="0"/>
          <w:numId w:val="1003"/>
        </w:numPr>
      </w:pPr>
      <w:r>
        <w:rPr>
          <w:b/>
          <w:bCs/>
        </w:rPr>
        <w:t xml:space="preserve">Dividend:</w:t>
      </w:r>
      <w:r>
        <w:t xml:space="preserve"> </w:t>
      </w:r>
      <w:r>
        <w:t xml:space="preserve">$1.78/quarter;</w:t>
      </w:r>
      <w:r>
        <w:t xml:space="preserve"> </w:t>
      </w:r>
      <w:r>
        <w:rPr>
          <w:b/>
          <w:bCs/>
        </w:rPr>
        <w:t xml:space="preserve">39th consecutive year</w:t>
      </w:r>
      <w:r>
        <w:t xml:space="preserve"> </w:t>
      </w:r>
      <w:r>
        <w:t xml:space="preserve">of increases.</w:t>
      </w:r>
    </w:p>
    <w:p>
      <w:pPr>
        <w:pStyle w:val="Compact"/>
        <w:numPr>
          <w:ilvl w:val="0"/>
          <w:numId w:val="1003"/>
        </w:numPr>
      </w:pPr>
      <w:r>
        <w:rPr>
          <w:b/>
          <w:bCs/>
        </w:rPr>
        <w:t xml:space="preserve">Buyback:</w:t>
      </w:r>
      <w:r>
        <w:t xml:space="preserve"> </w:t>
      </w:r>
      <w:r>
        <w:t xml:space="preserve">held at</w:t>
      </w:r>
      <w:r>
        <w:t xml:space="preserve"> </w:t>
      </w:r>
      <m:oMath>
        <m:r>
          <m:t>2.5</m:t>
        </m:r>
        <m:r>
          <m:rPr>
            <m:sty m:val="p"/>
          </m:rPr>
          <m:t>–</m:t>
        </m:r>
        <m:r>
          <m:t>3</m:t>
        </m:r>
        <m:r>
          <m:t>B</m:t>
        </m:r>
        <m:r>
          <m:rPr>
            <m:sty m:val="p"/>
          </m:rPr>
          <m:t>/</m:t>
        </m:r>
        <m:r>
          <m:t>q</m:t>
        </m:r>
        <m:r>
          <m:t>u</m:t>
        </m:r>
        <m:r>
          <m:t>a</m:t>
        </m:r>
        <m:r>
          <m:t>r</m:t>
        </m:r>
        <m:r>
          <m:t>t</m:t>
        </m:r>
        <m:r>
          <m:t>e</m:t>
        </m:r>
        <m:r>
          <m:t>r</m:t>
        </m:r>
        <m:r>
          <m:rPr>
            <m:sty m:val="p"/>
          </m:rPr>
          <m:t>*</m:t>
        </m:r>
        <m:r>
          <m:rPr>
            <m:sty m:val="p"/>
          </m:rPr>
          <m:t>*</m:t>
        </m:r>
        <m:r>
          <m:t>o</m:t>
        </m:r>
        <m:r>
          <m:t>n</m:t>
        </m:r>
        <m:r>
          <m:t>t</m:t>
        </m:r>
        <m:r>
          <m:t>h</m:t>
        </m:r>
        <m:r>
          <m:t>e</m:t>
        </m:r>
        <m:r>
          <m:t>Q</m:t>
        </m:r>
        <m:r>
          <m:t>1</m:t>
        </m:r>
        <m:r>
          <m:t>c</m:t>
        </m:r>
        <m:r>
          <m:t>a</m:t>
        </m:r>
        <m:r>
          <m:t>l</m:t>
        </m:r>
        <m:r>
          <m:t>l</m:t>
        </m:r>
        <m:r>
          <m:t>d</m:t>
        </m:r>
        <m:r>
          <m:t>e</m:t>
        </m:r>
        <m:r>
          <m:t>s</m:t>
        </m:r>
        <m:r>
          <m:t>p</m:t>
        </m:r>
        <m:r>
          <m:t>i</m:t>
        </m:r>
        <m:r>
          <m:t>t</m:t>
        </m:r>
        <m:r>
          <m:t>e</m:t>
        </m:r>
        <m:r>
          <m:t>t</m:t>
        </m:r>
        <m:r>
          <m:t>h</m:t>
        </m:r>
        <m:r>
          <m:t>e</m:t>
        </m:r>
        <m:r>
          <m:t>p</m:t>
        </m:r>
        <m:r>
          <m:t>r</m:t>
        </m:r>
        <m:r>
          <m:t>i</m:t>
        </m:r>
        <m:r>
          <m:t>c</m:t>
        </m:r>
        <m:r>
          <m:t>e</m:t>
        </m:r>
        <m:r>
          <m:t>s</m:t>
        </m:r>
        <m:r>
          <m:t>p</m:t>
        </m:r>
        <m:r>
          <m:t>i</m:t>
        </m:r>
        <m:r>
          <m:t>k</m:t>
        </m:r>
        <m:r>
          <m:t>e</m:t>
        </m:r>
        <m:r>
          <m:rPr>
            <m:sty m:val="p"/>
          </m:rPr>
          <m:t>.</m:t>
        </m:r>
        <m:r>
          <m:t>Q</m:t>
        </m:r>
        <m:r>
          <m:t>1</m:t>
        </m:r>
        <m:r>
          <m:t>r</m:t>
        </m:r>
        <m:r>
          <m:t>e</m:t>
        </m:r>
        <m:r>
          <m:t>t</m:t>
        </m:r>
        <m:r>
          <m:t>u</m:t>
        </m:r>
        <m:r>
          <m:t>r</m:t>
        </m:r>
        <m:r>
          <m:t>n</m:t>
        </m:r>
        <m:r>
          <m:t>s</m:t>
        </m:r>
        <m:r>
          <m:t>t</m:t>
        </m:r>
        <m:r>
          <m:t>o</m:t>
        </m:r>
        <m:r>
          <m:t>t</m:t>
        </m:r>
        <m:r>
          <m:t>a</m:t>
        </m:r>
        <m:r>
          <m:t>l</m:t>
        </m:r>
        <m:r>
          <m:t>e</m:t>
        </m:r>
        <m:r>
          <m:t>d</m:t>
        </m:r>
        <m:r>
          <m:rPr>
            <m:sty m:val="p"/>
          </m:rPr>
          <m:t>*</m:t>
        </m:r>
        <m:r>
          <m:rPr>
            <m:sty m:val="p"/>
          </m:rPr>
          <m:t>*</m:t>
        </m:r>
      </m:oMath>
      <w:r>
        <w:rPr>
          <w:b/>
          <w:bCs/>
        </w:rPr>
        <w:t xml:space="preserve">6.0B</w:t>
      </w:r>
      <w:r>
        <w:t xml:space="preserve"> </w:t>
      </w:r>
      <w:r>
        <w:t xml:space="preserve">— the</w:t>
      </w:r>
      <w:r>
        <w:t xml:space="preserve"> </w:t>
      </w:r>
      <w:r>
        <w:rPr>
          <w:b/>
          <w:bCs/>
        </w:rPr>
        <w:t xml:space="preserve">16th straight quarter above $5B</w:t>
      </w:r>
      <w:r>
        <w:t xml:space="preserve">.</w:t>
      </w:r>
    </w:p>
    <w:p>
      <w:pPr>
        <w:pStyle w:val="Compact"/>
        <w:numPr>
          <w:ilvl w:val="0"/>
          <w:numId w:val="1003"/>
        </w:numPr>
      </w:pPr>
      <w:r>
        <w:rPr>
          <w:b/>
          <w:bCs/>
        </w:rPr>
        <w:t xml:space="preserve">Capex:</w:t>
      </w:r>
      <w:r>
        <w:t xml:space="preserve"> </w:t>
      </w:r>
      <m:oMath>
        <m:r>
          <m:t>18</m:t>
        </m:r>
        <m:r>
          <m:rPr>
            <m:sty m:val="p"/>
          </m:rPr>
          <m:t>–</m:t>
        </m:r>
        <m:r>
          <m:t>19</m:t>
        </m:r>
        <m:r>
          <m:t>B</m:t>
        </m:r>
        <m:r>
          <m:rPr>
            <m:sty m:val="p"/>
          </m:rPr>
          <m:t>*</m:t>
        </m:r>
        <m:r>
          <m:rPr>
            <m:sty m:val="p"/>
          </m:rPr>
          <m:t>*</m:t>
        </m:r>
        <m:r>
          <m:t>b</m:t>
        </m:r>
        <m:r>
          <m:t>u</m:t>
        </m:r>
        <m:r>
          <m:t>d</m:t>
        </m:r>
        <m:r>
          <m:t>g</m:t>
        </m:r>
        <m:r>
          <m:t>e</m:t>
        </m:r>
        <m:r>
          <m:t>t</m:t>
        </m:r>
        <m:r>
          <m:t>r</m:t>
        </m:r>
        <m:r>
          <m:t>e</m:t>
        </m:r>
        <m:r>
          <m:t>a</m:t>
        </m:r>
        <m:r>
          <m:t>f</m:t>
        </m:r>
        <m:r>
          <m:t>f</m:t>
        </m:r>
        <m:r>
          <m:t>i</m:t>
        </m:r>
        <m:r>
          <m:t>r</m:t>
        </m:r>
        <m:r>
          <m:t>m</m:t>
        </m:r>
        <m:r>
          <m:t>e</m:t>
        </m:r>
        <m:r>
          <m:t>d</m:t>
        </m:r>
        <m:r>
          <m:rPr>
            <m:sty m:val="p"/>
          </m:rPr>
          <m:t>;</m:t>
        </m:r>
        <m:r>
          <m:t>o</m:t>
        </m:r>
        <m:r>
          <m:t>n</m:t>
        </m:r>
        <m:r>
          <m:t>t</m:t>
        </m:r>
        <m:r>
          <m:t>r</m:t>
        </m:r>
        <m:r>
          <m:t>a</m:t>
        </m:r>
        <m:r>
          <m:t>c</m:t>
        </m:r>
        <m:r>
          <m:t>k</m:t>
        </m:r>
        <m:r>
          <m:t>f</m:t>
        </m:r>
        <m:r>
          <m:t>o</m:t>
        </m:r>
        <m:r>
          <m:t>r</m:t>
        </m:r>
        <m:r>
          <m:rPr>
            <m:sty m:val="p"/>
          </m:rPr>
          <m:t>*</m:t>
        </m:r>
        <m:r>
          <m:rPr>
            <m:sty m:val="p"/>
          </m:rPr>
          <m:t>*</m:t>
        </m:r>
        <m:r>
          <m:t>7</m:t>
        </m:r>
        <m:r>
          <m:rPr>
            <m:sty m:val="p"/>
          </m:rPr>
          <m:t>–</m:t>
        </m:r>
        <m:r>
          <m:t>10</m:t>
        </m:r>
      </m:oMath>
      <w:r>
        <w:rPr>
          <w:b/>
          <w:bCs/>
        </w:rPr>
        <w:t xml:space="preserve">3–4B structural cost cut</w:t>
      </w:r>
      <w:r>
        <w:t xml:space="preserve"> </w:t>
      </w:r>
      <w:r>
        <w:t xml:space="preserve">by year-end.</w:t>
      </w:r>
    </w:p>
    <w:p>
      <w:pPr>
        <w:pStyle w:val="Compact"/>
        <w:numPr>
          <w:ilvl w:val="0"/>
          <w:numId w:val="1003"/>
        </w:numPr>
      </w:pPr>
      <w:r>
        <w:rPr>
          <w:b/>
          <w:bCs/>
        </w:rPr>
        <w:t xml:space="preserve">Balance sheet:</w:t>
      </w:r>
      <w:r>
        <w:t xml:space="preserve"> </w:t>
      </w:r>
      <w:r>
        <w:t xml:space="preserve">net debt-to-CFFO ~</w:t>
      </w:r>
      <w:r>
        <w:rPr>
          <w:b/>
          <w:bCs/>
        </w:rPr>
        <w:t xml:space="preserve">1.3x</w:t>
      </w:r>
      <w:r>
        <w:t xml:space="preserve">; net debt rose in Q1 on working-capital build (commodity spike + inventory). Management expects a</w:t>
      </w:r>
      <w:r>
        <w:t xml:space="preserve"> </w:t>
      </w:r>
      <w:r>
        <w:rPr>
          <w:b/>
          <w:bCs/>
        </w:rPr>
        <w:t xml:space="preserve">working-capital release in H2</w:t>
      </w:r>
      <w:r>
        <w:t xml:space="preserve">, which should turbo-charge free cash flow if prices hold.</w:t>
      </w:r>
    </w:p>
    <w:p>
      <w:pPr>
        <w:pStyle w:val="FirstParagraph"/>
      </w:pPr>
      <w:r>
        <w:rPr>
          <w:b/>
          <w:bCs/>
        </w:rPr>
        <w:t xml:space="preserve">Watch for:</w:t>
      </w:r>
      <w:r>
        <w:t xml:space="preserve"> </w:t>
      </w:r>
      <w:r>
        <w:t xml:space="preserve">any signal on lifting the buyback range, a bigger-than-usual working-capital release, and TCO's $6B FCF guide (set at $70 Brent — upside at current prices). Management has been clear it won't "hit the gas" on Permian growth over a few weeks of disruption, so don't expect a capex bump.</w:t>
      </w:r>
    </w:p>
    <w:p>
      <w:r>
        <w:pict>
          <v:rect style="width:0;height:1.5pt" o:hralign="center" o:hrstd="t" o:hr="t"/>
        </w:pict>
      </w:r>
    </w:p>
    <w:bookmarkEnd w:id="12"/>
    <w:bookmarkStart w:id="13" w:name="X1447f7ce5f455b037ab2105452199eb313ab46c"/>
    <w:p>
      <w:pPr>
        <w:pStyle w:val="Heading2"/>
      </w:pPr>
      <w:r>
        <w:t xml:space="preserve">Catalysts and situations to listen for on the call</w:t>
      </w:r>
    </w:p>
    <w:p>
      <w:pPr>
        <w:pStyle w:val="Compact"/>
        <w:numPr>
          <w:ilvl w:val="0"/>
          <w:numId w:val="1004"/>
        </w:numPr>
      </w:pPr>
      <w:r>
        <w:rPr>
          <w:b/>
          <w:bCs/>
        </w:rPr>
        <w:t xml:space="preserve">Microsoft / AI power deal.</w:t>
      </w:r>
      <w:r>
        <w:t xml:space="preserve"> </w:t>
      </w:r>
      <w:r>
        <w:t xml:space="preserve">Exclusivity with Microsoft (and Engine No. 1) on the West Texas gas-fired power project; management guided to</w:t>
      </w:r>
      <w:r>
        <w:t xml:space="preserve"> </w:t>
      </w:r>
      <w:r>
        <w:rPr>
          <w:b/>
          <w:bCs/>
        </w:rPr>
        <w:t xml:space="preserve">FID later this year</w:t>
      </w:r>
      <w:r>
        <w:t xml:space="preserve"> </w:t>
      </w:r>
      <w:r>
        <w:t xml:space="preserve">and "more to say" on this call. A defined offtake/return structure would be a notable new-vertical catalyst.</w:t>
      </w:r>
    </w:p>
    <w:p>
      <w:pPr>
        <w:pStyle w:val="Compact"/>
        <w:numPr>
          <w:ilvl w:val="0"/>
          <w:numId w:val="1004"/>
        </w:numPr>
      </w:pPr>
      <w:r>
        <w:rPr>
          <w:b/>
          <w:bCs/>
        </w:rPr>
        <w:t xml:space="preserve">Venezuela.</w:t>
      </w:r>
      <w:r>
        <w:t xml:space="preserve"> </w:t>
      </w:r>
      <w:r>
        <w:t xml:space="preserve">~$1.5B receivable being paid down faster at higher prices —</w:t>
      </w:r>
      <w:r>
        <w:t xml:space="preserve"> </w:t>
      </w:r>
      <w:r>
        <w:rPr>
          <w:b/>
          <w:bCs/>
        </w:rPr>
        <w:t xml:space="preserve">fully recovered by 2027</w:t>
      </w:r>
      <w:r>
        <w:t xml:space="preserve">, plus the Ayacucho 8 / Petroindependencia (49% stake) expansion. Watch for updated fiscal-terms and capital commentary.</w:t>
      </w:r>
    </w:p>
    <w:p>
      <w:pPr>
        <w:pStyle w:val="Compact"/>
        <w:numPr>
          <w:ilvl w:val="0"/>
          <w:numId w:val="1004"/>
        </w:numPr>
      </w:pPr>
      <w:r>
        <w:rPr>
          <w:b/>
          <w:bCs/>
        </w:rPr>
        <w:t xml:space="preserve">TCO concession renegotiation</w:t>
      </w:r>
      <w:r>
        <w:t xml:space="preserve"> </w:t>
      </w:r>
      <w:r>
        <w:t xml:space="preserve">— "good progress" flagged; any update matters given TCO's cash weight.</w:t>
      </w:r>
    </w:p>
    <w:p>
      <w:pPr>
        <w:pStyle w:val="Compact"/>
        <w:numPr>
          <w:ilvl w:val="0"/>
          <w:numId w:val="1004"/>
        </w:numPr>
      </w:pPr>
      <w:r>
        <w:rPr>
          <w:b/>
          <w:bCs/>
        </w:rPr>
        <w:t xml:space="preserve">Portfolio optionality:</w:t>
      </w:r>
      <w:r>
        <w:t xml:space="preserve"> </w:t>
      </w:r>
      <w:r>
        <w:t xml:space="preserve">Bakken (inbound interest, but Chevron in "no hurry" to sell), Permian plateau-vs-growth, Eastern Med gas expansions (Tamar/Leviathan/Aphrodite), and new exploration entries (Libya, Greece, Uruguay).</w:t>
      </w:r>
    </w:p>
    <w:p>
      <w:r>
        <w:pict>
          <v:rect style="width:0;height:1.5pt" o:hralign="center" o:hrstd="t" o:hr="t"/>
        </w:pict>
      </w:r>
    </w:p>
    <w:bookmarkEnd w:id="13"/>
    <w:bookmarkStart w:id="14" w:name="risks-and-the-too-good-to-last-angle"/>
    <w:p>
      <w:pPr>
        <w:pStyle w:val="Heading2"/>
      </w:pPr>
      <w:r>
        <w:t xml:space="preserve">Risks and the "too good to last" angle</w:t>
      </w:r>
    </w:p>
    <w:p>
      <w:pPr>
        <w:pStyle w:val="Compact"/>
        <w:numPr>
          <w:ilvl w:val="0"/>
          <w:numId w:val="1005"/>
        </w:numPr>
      </w:pPr>
      <w:r>
        <w:rPr>
          <w:b/>
          <w:bCs/>
        </w:rPr>
        <w:t xml:space="preserve">Oil reversal risk.</w:t>
      </w:r>
      <w:r>
        <w:t xml:space="preserve"> </w:t>
      </w:r>
      <w:r>
        <w:t xml:space="preserve">The whole thesis rides on the war premium. The stock's 2026 path shows how fast this cuts both ways: CVX peaked near</w:t>
      </w:r>
      <w:r>
        <w:t xml:space="preserve"> </w:t>
      </w:r>
      <m:oMath>
        <m:r>
          <m:t>211</m:t>
        </m:r>
        <m:r>
          <m:t>i</m:t>
        </m:r>
        <m:r>
          <m:t>n</m:t>
        </m:r>
        <m:r>
          <m:t>l</m:t>
        </m:r>
        <m:r>
          <m:t>a</m:t>
        </m:r>
        <m:r>
          <m:t>t</m:t>
        </m:r>
        <m:r>
          <m:t>e</m:t>
        </m:r>
        <m:r>
          <m:t>M</m:t>
        </m:r>
        <m:r>
          <m:t>a</m:t>
        </m:r>
        <m:r>
          <m:t>r</m:t>
        </m:r>
        <m:r>
          <m:t>c</m:t>
        </m:r>
        <m:r>
          <m:t>h</m:t>
        </m:r>
        <m:r>
          <m:rPr>
            <m:sty m:val="p"/>
          </m:rPr>
          <m:t>*</m:t>
        </m:r>
        <m:r>
          <m:rPr>
            <m:sty m:val="p"/>
          </m:rPr>
          <m:t>*</m:t>
        </m:r>
        <m:r>
          <m:rPr>
            <m:sty m:val="p"/>
          </m:rPr>
          <m:t>,</m:t>
        </m:r>
        <m:r>
          <m:t>f</m:t>
        </m:r>
        <m:r>
          <m:t>e</m:t>
        </m:r>
        <m:r>
          <m:t>l</m:t>
        </m:r>
        <m:r>
          <m:t>l</m:t>
        </m:r>
        <m:r>
          <m:t>t</m:t>
        </m:r>
        <m:r>
          <m:t>o</m:t>
        </m:r>
        <m:r>
          <m:rPr>
            <m:sty m:val="p"/>
          </m:rPr>
          <m:t>*</m:t>
        </m:r>
        <m:r>
          <m:rPr>
            <m:sty m:val="p"/>
          </m:rPr>
          <m:t>*</m:t>
        </m:r>
        <m:r>
          <m:t> </m:t>
        </m:r>
      </m:oMath>
      <w:r>
        <w:rPr>
          <w:b/>
          <w:bCs/>
        </w:rPr>
        <w:t xml:space="preserve">166 by end-June</w:t>
      </w:r>
      <w:r>
        <w:t xml:space="preserve"> </w:t>
      </w:r>
      <w:r>
        <w:t xml:space="preserve">when a de-escalation pause dropped Brent sharply, then rallied back to ~$192 as strikes resumed.</w:t>
      </w:r>
      <w:r>
        <w:t xml:space="preserve"> </w:t>
      </w:r>
      <w:r>
        <w:rPr>
          <w:b/>
          <w:bCs/>
        </w:rPr>
        <w:t xml:space="preserve">A Hormuz reopening/ceasefire could unwind margins — and flip timing effects negative.</w:t>
      </w:r>
    </w:p>
    <w:p>
      <w:pPr>
        <w:pStyle w:val="Compact"/>
        <w:numPr>
          <w:ilvl w:val="0"/>
          <w:numId w:val="1005"/>
        </w:numPr>
      </w:pPr>
      <w:r>
        <w:rPr>
          <w:b/>
          <w:bCs/>
        </w:rPr>
        <w:t xml:space="preserve">Political/fiscal risk.</w:t>
      </w:r>
      <w:r>
        <w:t xml:space="preserve"> </w:t>
      </w:r>
      <w:r>
        <w:t xml:space="preserve">Management explicitly warned about</w:t>
      </w:r>
      <w:r>
        <w:t xml:space="preserve"> </w:t>
      </w:r>
      <w:r>
        <w:rPr>
          <w:b/>
          <w:bCs/>
        </w:rPr>
        <w:t xml:space="preserve">windfall profit taxes, price caps, and export bans</w:t>
      </w:r>
      <w:r>
        <w:t xml:space="preserve"> </w:t>
      </w:r>
      <w:r>
        <w:t xml:space="preserve">as unhelpful policy responses during a supply shock. The White House is already exploring reopening refineries amid high gasoline prices — the political backdrop for "excess" oil profits is charged.</w:t>
      </w:r>
    </w:p>
    <w:p>
      <w:pPr>
        <w:pStyle w:val="Compact"/>
        <w:numPr>
          <w:ilvl w:val="0"/>
          <w:numId w:val="1005"/>
        </w:numPr>
      </w:pPr>
      <w:r>
        <w:rPr>
          <w:b/>
          <w:bCs/>
        </w:rPr>
        <w:t xml:space="preserve">California / downstream policy</w:t>
      </w:r>
      <w:r>
        <w:t xml:space="preserve"> </w:t>
      </w:r>
      <w:r>
        <w:t xml:space="preserve">remains a structural overhang.</w:t>
      </w:r>
    </w:p>
    <w:p>
      <w:pPr>
        <w:pStyle w:val="Compact"/>
        <w:numPr>
          <w:ilvl w:val="0"/>
          <w:numId w:val="1005"/>
        </w:numPr>
      </w:pPr>
      <w:r>
        <w:rPr>
          <w:b/>
          <w:bCs/>
        </w:rPr>
        <w:t xml:space="preserve">Comparability:</w:t>
      </w:r>
      <w:r>
        <w:t xml:space="preserve"> </w:t>
      </w:r>
      <w:r>
        <w:t xml:space="preserve">headline reported earnings will be noisy (timing effects, FX, legal reserves like Q1's $360M charge). Focus on</w:t>
      </w:r>
      <w:r>
        <w:t xml:space="preserve"> </w:t>
      </w:r>
      <w:r>
        <w:rPr>
          <w:b/>
          <w:bCs/>
        </w:rPr>
        <w:t xml:space="preserve">adjusted EPS, cash flow ex-working-capital, and shareholder returns.</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Expect a</w:t>
      </w:r>
      <w:r>
        <w:t xml:space="preserve"> </w:t>
      </w:r>
      <w:r>
        <w:rPr>
          <w:b/>
          <w:bCs/>
        </w:rPr>
        <w:t xml:space="preserve">very strong, possibly record-revenue quarter</w:t>
      </w:r>
      <w:r>
        <w:t xml:space="preserve"> </w:t>
      </w:r>
      <w:r>
        <w:t xml:space="preserve">driven by war-inflated crude, tripling refining margins, above-mid-cycle chemicals, and a partial reversal of Q1's ~$3B timing drag. With consensus EPS already up triple-digits YoY and dispersion wide, the stock's move likely hinges less on the beat and more on:</w:t>
      </w:r>
      <w:r>
        <w:t xml:space="preserve"> </w:t>
      </w:r>
      <w:r>
        <w:rPr>
          <w:b/>
          <w:bCs/>
        </w:rPr>
        <w:t xml:space="preserve">(1) whether Chevron finally leans into higher shareholder returns, (2) the size of the H2 working-capital/free-cash-flow inflection, and (3) concrete progress on the Microsoft power FID and Venezuela.</w:t>
      </w:r>
      <w:r>
        <w:t xml:space="preserve"> </w:t>
      </w:r>
      <w:r>
        <w:t xml:space="preserve">Given oil's sharp two-way volatility this year, also weigh how durable management thinks the price environment is — CVX has pointedly refused to change its capital plan on an eight-week-old conflict.</w:t>
      </w:r>
    </w:p>
    <w:p>
      <w:pPr>
        <w:pStyle w:val="BodyText"/>
      </w:pPr>
      <w:r>
        <w:rPr>
          <w:i/>
          <w:iCs/>
        </w:rPr>
        <w:t xml:space="preserve">Sources: Chevron Q1 2026 earnings release and call transcript; Barron's/Reuters/Benzinga/Zacks/UBS previews and market coverage; Finnhub price data.</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2026-07-31T00:35:38Z</dcterms:created>
  <dcterms:modified xsi:type="dcterms:W3CDTF">2026-07-31T00:35:38Z</dcterms:modified>
</cp:coreProperties>
</file>

<file path=docProps/custom.xml><?xml version="1.0" encoding="utf-8"?>
<Properties xmlns="http://schemas.openxmlformats.org/officeDocument/2006/custom-properties" xmlns:vt="http://schemas.openxmlformats.org/officeDocument/2006/docPropsVTypes"/>
</file>