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chevron-cvx-q2-2026-earnings-preview"/>
    <w:p>
      <w:pPr>
        <w:pStyle w:val="Heading1"/>
      </w:pPr>
      <w:r>
        <w:t xml:space="preserve">Chevron (CVX) Q2 2026 Earnings Preview</w:t>
      </w:r>
    </w:p>
    <w:p>
      <w:pPr>
        <w:pStyle w:val="FirstParagraph"/>
      </w:pPr>
      <w:r>
        <w:rPr>
          <w:b/>
          <w:bCs/>
        </w:rPr>
        <w:t xml:space="preserve">Report Date:</w:t>
      </w:r>
      <w:r>
        <w:t xml:space="preserve"> </w:t>
      </w:r>
      <w:r>
        <w:t xml:space="preserve">Friday, July 31, 2026, before market open | Call: 11:00 AM ET</w:t>
      </w:r>
    </w:p>
    <w:p>
      <w:r>
        <w:pict>
          <v:rect style="width:0;height:1.5pt" o:hralign="center" o:hrstd="t" o:hr="t"/>
        </w:pict>
      </w:r>
    </w:p>
    <w:bookmarkStart w:id="9" w:name="setup-a-geopolitically-charged-quarter"/>
    <w:p>
      <w:pPr>
        <w:pStyle w:val="Heading2"/>
      </w:pPr>
      <w:r>
        <w:t xml:space="preserve">Setup: A Geopolitically Charged Quarter</w:t>
      </w:r>
    </w:p>
    <w:p>
      <w:pPr>
        <w:pStyle w:val="FirstParagraph"/>
      </w:pPr>
      <w:r>
        <w:t xml:space="preserve">Chevron heads into this print in the middle of the most volatile oil-price environment in years, driven by the escalating Iran conflict. The EIA now expects Brent around $106 per barrel in May and June before easing to $89 by 4Q26, with 10.75 million barrels per day of Middle East production shut in. The quarter has been a rollercoaster: oil spiked on U.S./Iran strikes and fears the Strait of Hormuz — through which more than a quarter of the world's crude usually passes — could stay closed, then pulled back sharply whenever de-escalation headlines emerged. As recently as July 29, Chevron shares rose 1.4% to $190.16 in premarket trading following military escalation in the Persian Gulf region, as oil prices spiked after U.S. and Iranian strikes. Just two days earlier, Chevron shares fell 2.7% in premarket trading as crude prices dropped sharply after President Trump paused a major escalation, with Brent falling 4.8% to $87.21 a barrel.</w:t>
      </w:r>
    </w:p>
    <w:p>
      <w:pPr>
        <w:pStyle w:val="BodyText"/>
      </w:pPr>
      <w:r>
        <w:t xml:space="preserve">CVX stock closed at</w:t>
      </w:r>
      <w:r>
        <w:t xml:space="preserve"> </w:t>
      </w:r>
      <w:r>
        <w:rPr>
          <w:b/>
          <w:bCs/>
        </w:rPr>
        <w:t xml:space="preserve">$192.34</w:t>
      </w:r>
      <w:r>
        <w:t xml:space="preserve"> </w:t>
      </w:r>
      <w:r>
        <w:t xml:space="preserve">on July 30, near 52-week highs, and per one source is heading into the print with an average analyst price target of $215 (compared to the current share price of $191.79).</w:t>
      </w:r>
    </w:p>
    <w:p>
      <w:r>
        <w:pict>
          <v:rect style="width:0;height:1.5pt" o:hralign="center" o:hrstd="t" o:hr="t"/>
        </w:pict>
      </w:r>
    </w:p>
    <w:bookmarkEnd w:id="9"/>
    <w:bookmarkStart w:id="10" w:name="consensus-numbers"/>
    <w:p>
      <w:pPr>
        <w:pStyle w:val="Heading2"/>
      </w:pPr>
      <w:r>
        <w:t xml:space="preserve">Consensus Numbers</w:t>
      </w:r>
    </w:p>
    <w:p>
      <w:pPr>
        <w:pStyle w:val="FirstParagraph"/>
      </w:pPr>
      <w:r>
        <w:t xml:space="preserve">Estimates vary slightly by source, but the picture is consistent: a</w:t>
      </w:r>
      <w:r>
        <w:t xml:space="preserve"> </w:t>
      </w:r>
      <w:r>
        <w:rPr>
          <w:b/>
          <w:bCs/>
        </w:rPr>
        <w:t xml:space="preserve">big year-over-year beat expected on both revenue and EPS</w:t>
      </w:r>
      <w:r>
        <w:t xml:space="preserve">, largely a function of higher realized oil/gas prices and refining margins during the quarter.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Estimate</w:t>
            </w:r>
          </w:p>
        </w:tc>
        <w:tc>
          <w:tcPr/>
          <w:p>
            <w:pPr>
              <w:pStyle w:val="Compact"/>
            </w:pPr>
            <w:r>
              <w:t xml:space="preserve">Year-Ago</w:t>
            </w:r>
          </w:p>
        </w:tc>
        <w:tc>
          <w:tcPr/>
          <w:p>
            <w:pPr>
              <w:pStyle w:val="Compact"/>
            </w:pPr>
            <w:r>
              <w:t xml:space="preserve">Implied Growth</w:t>
            </w:r>
          </w:p>
        </w:tc>
      </w:tr>
      <w:tr>
        <w:tc>
          <w:tcPr/>
          <w:p>
            <w:pPr>
              <w:pStyle w:val="Compact"/>
            </w:pPr>
            <w:r>
              <w:t xml:space="preserve">Adjusted EPS</w:t>
            </w:r>
          </w:p>
        </w:tc>
        <w:tc>
          <w:tcPr/>
          <w:p>
            <w:pPr>
              <w:pStyle w:val="Compact"/>
            </w:pPr>
            <w:r>
              <w:t xml:space="preserve">~</w:t>
            </w:r>
            <m:oMath>
              <m:r>
                <m:t>5.55</m:t>
              </m:r>
              <m:r>
                <m:rPr>
                  <m:sty m:val="p"/>
                </m:rPr>
                <m:t>–</m:t>
              </m:r>
            </m:oMath>
            <w:r>
              <w:t xml:space="preserve">5.79</w:t>
            </w:r>
          </w:p>
        </w:tc>
        <w:tc>
          <w:tcPr/>
          <w:p>
            <w:pPr>
              <w:pStyle w:val="Compact"/>
            </w:pPr>
            <w:r>
              <w:t xml:space="preserve">$1.77</w:t>
            </w:r>
          </w:p>
        </w:tc>
        <w:tc>
          <w:tcPr/>
          <w:p>
            <w:pPr>
              <w:pStyle w:val="Compact"/>
            </w:pPr>
            <w:r>
              <w:t xml:space="preserve">~+215–227%</w:t>
            </w:r>
          </w:p>
        </w:tc>
      </w:tr>
      <w:tr>
        <w:tc>
          <w:tcPr/>
          <w:p>
            <w:pPr>
              <w:pStyle w:val="Compact"/>
            </w:pPr>
            <w:r>
              <w:t xml:space="preserve">Revenue</w:t>
            </w:r>
          </w:p>
        </w:tc>
        <w:tc>
          <w:tcPr/>
          <w:p>
            <w:pPr>
              <w:pStyle w:val="Compact"/>
            </w:pPr>
            <w:r>
              <w:t xml:space="preserve">~</w:t>
            </w:r>
            <m:oMath>
              <m:r>
                <m:t>61.7</m:t>
              </m:r>
              <m:r>
                <m:t>B</m:t>
              </m:r>
              <m:r>
                <m:rPr>
                  <m:sty m:val="p"/>
                </m:rPr>
                <m:t>–</m:t>
              </m:r>
            </m:oMath>
            <w:r>
              <w:t xml:space="preserve">62.7B</w:t>
            </w:r>
          </w:p>
        </w:tc>
        <w:tc>
          <w:tcPr/>
          <w:p>
            <w:pPr>
              <w:pStyle w:val="Compact"/>
            </w:pPr>
            <w:r>
              <w:t xml:space="preserve">$44.8B</w:t>
            </w:r>
          </w:p>
        </w:tc>
        <w:tc>
          <w:tcPr/>
          <w:p>
            <w:pPr>
              <w:pStyle w:val="Compact"/>
            </w:pPr>
            <w:r>
              <w:t xml:space="preserve">~+38–48%</w:t>
            </w:r>
          </w:p>
        </w:tc>
      </w:tr>
    </w:tbl>
    <w:p>
      <w:pPr>
        <w:pStyle w:val="BodyText"/>
      </w:pPr>
      <w:r>
        <w:t xml:space="preserve">Analysts expect the company's EPS to be $5.79 on a diluted basis, up 227.1% from $1.77 in the year-ago quarter, and the company has exceeded Wall Street's EPS estimates in each of its last four quarters. On revenue, analysts expect Chevron to report revenue of $61.97 billion, up significantly from $44.82 billion reported in last year's second quarter — the highest quarterly revenue total in 15 quarters. With the results including months that had oil barrels trading at higher prices than recent months, analysts have high expectations. For the full year, analysts project 2026 EPS of $14.78, up 102.7% from $7.29 in fiscal 2025, though EPS is expected to decline roughly 10.4% YoY to $13.25 in fiscal 2027 — a reminder that the Street sees this year's spike as partly cyclical/geopolitical rather than fully durable.</w:t>
      </w:r>
    </w:p>
    <w:p>
      <w:pPr>
        <w:pStyle w:val="BodyText"/>
      </w:pPr>
      <w:r>
        <w:t xml:space="preserve">Sentiment is skewed positive: analysts are moderately bullish on CVX, with the stock having a "Moderate Buy" rating overall — among 25 analysts, 16 recommend "Strong Buy," three "Moderate Buy," five "Hold," and one "Strong Sell."</w:t>
      </w:r>
    </w:p>
    <w:p>
      <w:r>
        <w:pict>
          <v:rect style="width:0;height:1.5pt" o:hralign="center" o:hrstd="t" o:hr="t"/>
        </w:pict>
      </w:r>
    </w:p>
    <w:bookmarkEnd w:id="10"/>
    <w:bookmarkStart w:id="17" w:name="what-to-watch-in-the-print"/>
    <w:p>
      <w:pPr>
        <w:pStyle w:val="Heading2"/>
      </w:pPr>
      <w:r>
        <w:t xml:space="preserve">What to Watch in the Print</w:t>
      </w:r>
    </w:p>
    <w:bookmarkStart w:id="11" w:name="X360644d095fb1ca81f08ef448849eacd22e213f"/>
    <w:p>
      <w:pPr>
        <w:pStyle w:val="Heading3"/>
      </w:pPr>
      <w:r>
        <w:t xml:space="preserve">1. Timing effects and derivatives noise unwinding</w:t>
      </w:r>
    </w:p>
    <w:p>
      <w:pPr>
        <w:pStyle w:val="FirstParagraph"/>
      </w:pPr>
      <w:r>
        <w:t xml:space="preserve">Last quarter's downstream results were muddied by an unusual accounting item worth watching closely again. In Q1, adjusted downstream earnings decreased primarily due to unfavorable timing effects, which were partly offset by higher refining margins, with unfavorable timing effects totaling around $3 billion for the quarter, reflecting the steep rise in commodity prices in March, split evenly between inventory valuation and mark-to-market accounting on paper derivative positions. Management guided that it anticipated approximately $1 billion of the paper positions to unwind in the second quarter, with the majority of related cargoes delivered in April — a modest tailwind. Given oil prices ran up further intra-Q2, investors should watch whether new timing effects emerged.</w:t>
      </w:r>
    </w:p>
    <w:bookmarkEnd w:id="11"/>
    <w:bookmarkStart w:id="12" w:name="X5ba2a4b0ab718e4311a491e4c09154393da02c9"/>
    <w:p>
      <w:pPr>
        <w:pStyle w:val="Heading3"/>
      </w:pPr>
      <w:r>
        <w:t xml:space="preserve">2. Equity crude integration benefit</w:t>
      </w:r>
    </w:p>
    <w:p>
      <w:pPr>
        <w:pStyle w:val="FirstParagraph"/>
      </w:pPr>
      <w:r>
        <w:t xml:space="preserve">A key post-Hess structural story: Chevron's refining system is running on far more of its own crude than historically. Before the Hess acquisition, Chevron ran its global refining system on roughly 15% equity crude, buying the rest from the market; in Q2 2026, management expected Asian refineries to run at over 40% equity crude and U.S. refineries above 50% — a structural cost and supply advantage that competitors cannot easily replicate. This should be a genuine margin-capture story this quarter, not just a price-driven one — worth distinguishing from pure commodity beta when assessing quality of earnings.</w:t>
      </w:r>
    </w:p>
    <w:bookmarkEnd w:id="12"/>
    <w:bookmarkStart w:id="13" w:name="Xf1ad1782db51bd45d39c4e66d9943383a4f20bb"/>
    <w:p>
      <w:pPr>
        <w:pStyle w:val="Heading3"/>
      </w:pPr>
      <w:r>
        <w:t xml:space="preserve">3. Production growth and Permian/TCO momentum</w:t>
      </w:r>
    </w:p>
    <w:p>
      <w:pPr>
        <w:pStyle w:val="FirstParagraph"/>
      </w:pPr>
      <w:r>
        <w:t xml:space="preserve">Chevron entered Q2 with strong operational tailwinds: U.S. production over 2 million barrels of oil equivalent per day, Gorgon and Wheatstone LNG running at full rates, TCO producing above 1 million barrels of oil equivalent per day, and U.S. refineries operating at record crude throughput. Watch for confirmation of the</w:t>
      </w:r>
      <w:r>
        <w:t xml:space="preserve"> </w:t>
      </w:r>
      <w:r>
        <w:rPr>
          <w:b/>
          <w:bCs/>
        </w:rPr>
        <w:t xml:space="preserve">7%–10% full-year production growth guidance</w:t>
      </w:r>
      <w:r>
        <w:t xml:space="preserve"> </w:t>
      </w:r>
      <w:r>
        <w:t xml:space="preserve">and any update on TCO debottlenecking upside, which management said it would provide "more guidance next quarter" on.</w:t>
      </w:r>
    </w:p>
    <w:bookmarkEnd w:id="13"/>
    <w:bookmarkStart w:id="14" w:name="Xd6f40cfa96f18c84af248d7c55cace62dfd4f36"/>
    <w:p>
      <w:pPr>
        <w:pStyle w:val="Heading3"/>
      </w:pPr>
      <w:r>
        <w:t xml:space="preserve">4. Capital allocation discipline vs. windfall pressure</w:t>
      </w:r>
    </w:p>
    <w:p>
      <w:pPr>
        <w:pStyle w:val="FirstParagraph"/>
      </w:pPr>
      <w:r>
        <w:t xml:space="preserve">The big investor question: will elevated prices trigger a shift in capital returns? As of Q1, management held the line: Chevron reaffirmed a $2.5–3 billion quarterly buyback range and its four financial priorities — growing the dividend (39th consecutive year), investing at $18–19 billion budget, strengthening the balance sheet, and buybacks — stating it was too early to have a different view on the fundamental price outlook or make rash changes. Watch whether stronger H1 cash flow (equity affiliate distribution guidance was already raised by over $2 billion relative to the first quarter last time) prompts any upward move in the buyback range or explicit commentary on deploying the windfall — this is exactly the question Barron's flagged heading into the print, noting investors will get details on how the company plans to deploy its cash when it reports second-quarter earnings on Friday.</w:t>
      </w:r>
    </w:p>
    <w:bookmarkEnd w:id="14"/>
    <w:bookmarkStart w:id="15" w:name="Xa8cfaf9260bc5e867f9254c1bf81e9c72e8457c"/>
    <w:p>
      <w:pPr>
        <w:pStyle w:val="Heading3"/>
      </w:pPr>
      <w:r>
        <w:t xml:space="preserve">5. Geopolitical growth optionality: Iraq, Venezuela, Argentina</w:t>
      </w:r>
    </w:p>
    <w:p>
      <w:pPr>
        <w:pStyle w:val="FirstParagraph"/>
      </w:pPr>
      <w:r>
        <w:t xml:space="preserve">This is becoming a bigger part of the CVX story beyond pure price beta:</w:t>
      </w:r>
    </w:p>
    <w:p>
      <w:pPr>
        <w:pStyle w:val="Compact"/>
        <w:numPr>
          <w:ilvl w:val="0"/>
          <w:numId w:val="1001"/>
        </w:numPr>
      </w:pPr>
      <w:r>
        <w:rPr>
          <w:b/>
          <w:bCs/>
        </w:rPr>
        <w:t xml:space="preserve">Iraq:</w:t>
      </w:r>
      <w:r>
        <w:t xml:space="preserve"> </w:t>
      </w:r>
      <w:r>
        <w:t xml:space="preserve">Chevron expects to sign two preliminary development deals for fields in southern Iraq and is considering helping build a pipeline that could send oil north to the Syrian coast, instead of through the Strait of Hormuz, and would replace Russia's Lukoil at West Qurna 2, which produces about 460,000 barrels of oil a day — though a senior official cautioned the company is "a long ways from the finish line today" on committing.</w:t>
      </w:r>
    </w:p>
    <w:p>
      <w:pPr>
        <w:pStyle w:val="Compact"/>
        <w:numPr>
          <w:ilvl w:val="0"/>
          <w:numId w:val="1001"/>
        </w:numPr>
      </w:pPr>
      <w:r>
        <w:rPr>
          <w:b/>
          <w:bCs/>
        </w:rPr>
        <w:t xml:space="preserve">Venezuela:</w:t>
      </w:r>
      <w:r>
        <w:t xml:space="preserve"> </w:t>
      </w:r>
      <w:r>
        <w:t xml:space="preserve">Receivables are being worked down faster with higher prices; the roughly $1.5 billion receivable is on track to be fully cleared by 2027, being paid down at an accelerating pace with higher oil prices. Once that happens, Venezuela transitions from a cash absorber to a cash contributor, at which point Chevron expects to provide guidance on capital deployment there. Chevron also recently swapped assets with PDVSA to increase its Orinoco position.</w:t>
      </w:r>
    </w:p>
    <w:p>
      <w:pPr>
        <w:pStyle w:val="Compact"/>
        <w:numPr>
          <w:ilvl w:val="0"/>
          <w:numId w:val="1001"/>
        </w:numPr>
      </w:pPr>
      <w:r>
        <w:rPr>
          <w:b/>
          <w:bCs/>
        </w:rPr>
        <w:t xml:space="preserve">New Energies / AI power:</w:t>
      </w:r>
      <w:r>
        <w:t xml:space="preserve"> </w:t>
      </w:r>
      <w:r>
        <w:t xml:space="preserve">Chevron's push into gas-fired power for data centers advanced meaningfully this quarter. Chevron's Energy Forge One subsidiary signed an agreement with Microsoft to develop a co-located power facility in West Texas (Project Kilby) under a 20-year power purchase agreement, expected to deliver approximately 2.67 gigawatts of capacity. This represents an important milestone toward Chevron's Final Investment Decision, expected by year-end 2026, targeting mid-teen returns and diversified cash flow independent of oil and gas price cycles. Expect an update on FID timing and definitive agreement progress on the call.</w:t>
      </w:r>
    </w:p>
    <w:bookmarkEnd w:id="15"/>
    <w:bookmarkStart w:id="16" w:name="X02bd98c79500027c485bead8a5ec879ef1e1a43"/>
    <w:p>
      <w:pPr>
        <w:pStyle w:val="Heading3"/>
      </w:pPr>
      <w:r>
        <w:t xml:space="preserve">6. Structural cost program</w:t>
      </w:r>
    </w:p>
    <w:p>
      <w:pPr>
        <w:pStyle w:val="FirstParagraph"/>
      </w:pPr>
      <w:r>
        <w:t xml:space="preserve">Watch for reaffirmation of the</w:t>
      </w:r>
      <w:r>
        <w:t xml:space="preserve"> </w:t>
      </w:r>
      <w:r>
        <w:rPr>
          <w:b/>
          <w:bCs/>
        </w:rPr>
        <w:t xml:space="preserve">$3–4 billion structural cost reduction target by year-end 2026</w:t>
      </w:r>
      <w:r>
        <w:t xml:space="preserve">, which management called on track in Q1 and underpins the 2030 targets (10%+ growth in adjusted FCF and EPS, 3-point ROCE improvement, all at $70 Brent).</w:t>
      </w:r>
    </w:p>
    <w:p>
      <w:r>
        <w:pict>
          <v:rect style="width:0;height:1.5pt" o:hralign="center" o:hrstd="t" o:hr="t"/>
        </w:pict>
      </w:r>
    </w:p>
    <w:bookmarkEnd w:id="16"/>
    <w:bookmarkEnd w:id="17"/>
    <w:bookmarkStart w:id="18" w:name="key-risks--bear-case"/>
    <w:p>
      <w:pPr>
        <w:pStyle w:val="Heading2"/>
      </w:pPr>
      <w:r>
        <w:t xml:space="preserve">Key Risks / Bear Case</w:t>
      </w:r>
    </w:p>
    <w:p>
      <w:pPr>
        <w:pStyle w:val="Compact"/>
        <w:numPr>
          <w:ilvl w:val="0"/>
          <w:numId w:val="1002"/>
        </w:numPr>
      </w:pPr>
      <w:r>
        <w:rPr>
          <w:b/>
          <w:bCs/>
        </w:rPr>
        <w:t xml:space="preserve">Mean reversion risk:</w:t>
      </w:r>
      <w:r>
        <w:t xml:space="preserve"> </w:t>
      </w:r>
      <w:r>
        <w:t xml:space="preserve">The core bear case is straightforward — this quarter's strength is substantially a function of a war-driven price spike. The primary risk to the model is a rapid resolution to the Iran conflict that sends Brent back toward $60, compressing upstream profit margins before cost savings and integration gains can fully offset. The FY2027 EPS estimate already declining ~10% YoY reflects this.</w:t>
      </w:r>
    </w:p>
    <w:p>
      <w:pPr>
        <w:pStyle w:val="Compact"/>
        <w:numPr>
          <w:ilvl w:val="0"/>
          <w:numId w:val="1002"/>
        </w:numPr>
      </w:pPr>
      <w:r>
        <w:rPr>
          <w:b/>
          <w:bCs/>
        </w:rPr>
        <w:t xml:space="preserve">Valuation already reflects good news:</w:t>
      </w:r>
      <w:r>
        <w:t xml:space="preserve"> </w:t>
      </w:r>
      <w:r>
        <w:t xml:space="preserve">With shares near highs and the average price target only modestly above the current price, much of the "Iran premium" and integration story may already be priced in.</w:t>
      </w:r>
    </w:p>
    <w:p>
      <w:pPr>
        <w:pStyle w:val="Compact"/>
        <w:numPr>
          <w:ilvl w:val="0"/>
          <w:numId w:val="1002"/>
        </w:numPr>
      </w:pPr>
      <w:r>
        <w:rPr>
          <w:b/>
          <w:bCs/>
        </w:rPr>
        <w:t xml:space="preserve">Political/regulatory scrutiny:</w:t>
      </w:r>
      <w:r>
        <w:t xml:space="preserve"> </w:t>
      </w:r>
      <w:r>
        <w:t xml:space="preserve">Elevated gasoline prices tied to the conflict have drawn political attention — the White House is looking to reopen closed oil refineries amid high gasoline prices caused by the Iran war — raising some tail risk of price-cap or windfall-tax rhetoric, which Chevron's own management has previously argued would be counterproductive.</w:t>
      </w:r>
    </w:p>
    <w:p>
      <w:pPr>
        <w:pStyle w:val="Compact"/>
        <w:numPr>
          <w:ilvl w:val="0"/>
          <w:numId w:val="1002"/>
        </w:numPr>
      </w:pPr>
      <w:r>
        <w:rPr>
          <w:b/>
          <w:bCs/>
        </w:rPr>
        <w:t xml:space="preserve">Execution risk on frontier growth:</w:t>
      </w:r>
      <w:r>
        <w:t xml:space="preserve"> </w:t>
      </w:r>
      <w:r>
        <w:t xml:space="preserve">Iraq, Venezuela, and Argentina optionality all carry meaningful geopolitical and fiscal-term uncertainty; none is close to being "in the model" yet.</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Chevron should post a blowout headline beat versus depressed year-ago comparisons, powered by a war-driven price spike, record refinery utilization, and rising equity-crude integration benefits post-Hess. The more important storylines for long-term investors will likely be</w:t>
      </w:r>
      <w:r>
        <w:t xml:space="preserve"> </w:t>
      </w:r>
      <w:r>
        <w:rPr>
          <w:b/>
          <w:bCs/>
        </w:rPr>
        <w:t xml:space="preserve">qualitative</w:t>
      </w:r>
      <w:r>
        <w:t xml:space="preserve">: capital allocation signals amid a cash windfall, updates on Iraq/Venezuela/Argentina growth options, progress toward the Project Kilby FID, and management's own framing of how much of this quarter's strength is structural versus geopolitical noise that could reverse if the Iran conflict de-escalates.</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2026-07-31T00:33:35Z</dcterms:created>
  <dcterms:modified xsi:type="dcterms:W3CDTF">2026-07-31T00:33:35Z</dcterms:modified>
</cp:coreProperties>
</file>

<file path=docProps/custom.xml><?xml version="1.0" encoding="utf-8"?>
<Properties xmlns="http://schemas.openxmlformats.org/officeDocument/2006/custom-properties" xmlns:vt="http://schemas.openxmlformats.org/officeDocument/2006/docPropsVTypes"/>
</file>