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vx-earnings-predictions--2026-07-31"/>
    <w:p>
      <w:pPr>
        <w:pStyle w:val="Heading1"/>
      </w:pPr>
      <w:r>
        <w:t xml:space="preserve">CVX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~$5.72 vs. cons $5.45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CFFO excluding working capital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~$18.6B vs. cons $17.8B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Worldwide net oil-equivalent production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~4.03 MMboe/d vs. cons 4.00 MMboe/d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Production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~8.5% vs. cons 8.8%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expenditures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~$18.5B vs. cons $18.6B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Share repurchases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~$2.75B vs. cons $2.75B (3Q2026)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Structural cost reductions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~$3.5B vs. cons $3.5B (year-end 2026 run-rate)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+0.6% (FADE)</w:t>
            </w:r>
          </w:p>
        </w:tc>
        <w:tc>
          <w:tcPr/>
          <w:p>
            <w:pPr>
              <w:pStyle w:val="Compact"/>
            </w:pPr>
            <w:r>
              <w:t xml:space="preserve">A cash-flow-led beat should drive the initial gain, but largely unchanged operating guidance, a production-growth midpoint slightly below consensus, and lower normalized oil-price assumptions embedded in 2027 estimates should limit upward revisions and partially reverse the day-1 move.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2026-07-31T00:34:17Z</dcterms:created>
  <dcterms:modified xsi:type="dcterms:W3CDTF">2026-07-31T00:34:17Z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