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a5a65b398057f48a3cd5bf37c37063e34497fc4"/>
    <w:p>
      <w:pPr>
        <w:pStyle w:val="Heading1"/>
      </w:pPr>
      <w:r>
        <w:t xml:space="preserve">Chevron 2Q26 Earnings Preview: Stronger Operations, Better Cash Conversion, Higher Expectations</w:t>
      </w:r>
    </w:p>
    <w:p>
      <w:pPr>
        <w:pStyle w:val="BlockText"/>
      </w:pPr>
      <w:r>
        <w:rPr>
          <w:b/>
          <w:bCs/>
        </w:rPr>
        <w:t xml:space="preserve">Timing note:</w:t>
      </w:r>
      <w:r>
        <w:t xml:space="preserve"> </w:t>
      </w:r>
      <w:r>
        <w:t xml:space="preserve">Chevron’s official advisory schedules its 2Q26 earnings call for</w:t>
      </w:r>
      <w:r>
        <w:t xml:space="preserve"> </w:t>
      </w:r>
      <w:r>
        <w:rPr>
          <w:b/>
          <w:bCs/>
        </w:rPr>
        <w:t xml:space="preserve">Friday, July 31, 2026, at 11:00 a.m. ET</w:t>
      </w:r>
      <w:r>
        <w:t xml:space="preserve">. Since July 31 is today—not tomorrow—this preview is framed as a</w:t>
      </w:r>
      <w:r>
        <w:t xml:space="preserve"> </w:t>
      </w:r>
      <w:r>
        <w:rPr>
          <w:b/>
          <w:bCs/>
        </w:rPr>
        <w:t xml:space="preserve">pre-release/pre-call assessment for July 31</w:t>
      </w:r>
      <w:r>
        <w:t xml:space="preserve">.</w:t>
      </w:r>
    </w:p>
    <w:bookmarkStart w:id="9" w:name="investment-view-going-into-the-report"/>
    <w:p>
      <w:pPr>
        <w:pStyle w:val="Heading2"/>
      </w:pPr>
      <w:r>
        <w:t xml:space="preserve">Investment view going into the report</w:t>
      </w:r>
    </w:p>
    <w:p>
      <w:pPr>
        <w:pStyle w:val="FirstParagraph"/>
      </w:pPr>
      <w:r>
        <w:t xml:space="preserve">Chevron enters the quarter with unusually favorable operating momentum: higher production, strong refining utilization, improved chemicals margins, a rebound at Tengizchevroil, and a commodity-price environment supported by severe Middle East supply disruptions.</w:t>
      </w:r>
    </w:p>
    <w:p>
      <w:pPr>
        <w:pStyle w:val="BodyText"/>
      </w:pPr>
      <w:r>
        <w:t xml:space="preserve">The central issue is therefore unlikely to be whether earnings improve from a noisy first quarter. They probably will. The more important questions are:</w:t>
      </w:r>
    </w:p>
    <w:p>
      <w:pPr>
        <w:pStyle w:val="Compact"/>
        <w:numPr>
          <w:ilvl w:val="0"/>
          <w:numId w:val="1001"/>
        </w:numPr>
      </w:pPr>
      <w:r>
        <w:rPr>
          <w:b/>
          <w:bCs/>
        </w:rPr>
        <w:t xml:space="preserve">How much of the stronger environment converts into cash?</w:t>
      </w:r>
    </w:p>
    <w:p>
      <w:pPr>
        <w:pStyle w:val="Compact"/>
        <w:numPr>
          <w:ilvl w:val="0"/>
          <w:numId w:val="1001"/>
        </w:numPr>
      </w:pPr>
      <w:r>
        <w:rPr>
          <w:b/>
          <w:bCs/>
        </w:rPr>
        <w:t xml:space="preserve">How much of the benefit is sustainable rather than accounting- or working-capital-related?</w:t>
      </w:r>
    </w:p>
    <w:p>
      <w:pPr>
        <w:pStyle w:val="Compact"/>
        <w:numPr>
          <w:ilvl w:val="0"/>
          <w:numId w:val="1001"/>
        </w:numPr>
      </w:pPr>
      <w:r>
        <w:rPr>
          <w:b/>
          <w:bCs/>
        </w:rPr>
        <w:t xml:space="preserve">Will management preserve capital discipline despite higher oil prices?</w:t>
      </w:r>
    </w:p>
    <w:p>
      <w:pPr>
        <w:pStyle w:val="Compact"/>
        <w:numPr>
          <w:ilvl w:val="0"/>
          <w:numId w:val="1001"/>
        </w:numPr>
      </w:pPr>
      <w:r>
        <w:rPr>
          <w:b/>
          <w:bCs/>
        </w:rPr>
        <w:t xml:space="preserve">Are Hess integration and cost-reduction targets translating into per-share value?</w:t>
      </w:r>
    </w:p>
    <w:p>
      <w:pPr>
        <w:pStyle w:val="FirstParagraph"/>
      </w:pPr>
      <w:r>
        <w:t xml:space="preserve">The setup is constructive, but expectations are no longer low. CVX closed at</w:t>
      </w:r>
      <w:r>
        <w:t xml:space="preserve"> </w:t>
      </w:r>
      <w:r>
        <w:rPr>
          <w:b/>
          <w:bCs/>
        </w:rPr>
        <w:t xml:space="preserve">$192.34 on July 30</w:t>
      </w:r>
      <w:r>
        <w:t xml:space="preserve">, up approximately</w:t>
      </w:r>
      <w:r>
        <w:t xml:space="preserve"> </w:t>
      </w:r>
      <w:r>
        <w:rPr>
          <w:b/>
          <w:bCs/>
        </w:rPr>
        <w:t xml:space="preserve">26% from year-end 2025</w:t>
      </w:r>
      <w:r>
        <w:t xml:space="preserve">, so investors will probably demand strong cash flow and credible forward guidance rather than merely an EPS beat.</w:t>
      </w:r>
    </w:p>
    <w:p>
      <w:r>
        <w:pict>
          <v:rect style="width:0;height:1.5pt" o:hralign="center" o:hrstd="t" o:hr="t"/>
        </w:pict>
      </w:r>
    </w:p>
    <w:bookmarkEnd w:id="9"/>
    <w:bookmarkStart w:id="10" w:name="what-chevron-is-coming-off"/>
    <w:p>
      <w:pPr>
        <w:pStyle w:val="Heading2"/>
      </w:pPr>
      <w:r>
        <w:t xml:space="preserve">What Chevron is coming off</w:t>
      </w:r>
    </w:p>
    <w:p>
      <w:pPr>
        <w:pStyle w:val="FirstParagraph"/>
      </w:pPr>
      <w:r>
        <w:t xml:space="preserve">First-quarter results were operationally stronger than the headline numbers suggested: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1Q26 metric</w:t>
            </w:r>
          </w:p>
        </w:tc>
        <w:tc>
          <w:tcPr/>
          <w:p>
            <w:pPr>
              <w:pStyle w:val="Compact"/>
              <w:jc w:val="right"/>
            </w:pPr>
            <w:r>
              <w:t xml:space="preserve">Result</w:t>
            </w:r>
          </w:p>
        </w:tc>
      </w:tr>
      <w:tr>
        <w:tc>
          <w:tcPr/>
          <w:p>
            <w:pPr>
              <w:pStyle w:val="Compact"/>
            </w:pPr>
            <w:r>
              <w:t xml:space="preserve">Reported earnings</w:t>
            </w:r>
          </w:p>
        </w:tc>
        <w:tc>
          <w:tcPr/>
          <w:p>
            <w:pPr>
              <w:pStyle w:val="Compact"/>
              <w:jc w:val="right"/>
            </w:pPr>
            <w:r>
              <w:t xml:space="preserve">$2.2B</w:t>
            </w:r>
          </w:p>
        </w:tc>
      </w:tr>
      <w:tr>
        <w:tc>
          <w:tcPr/>
          <w:p>
            <w:pPr>
              <w:pStyle w:val="Compact"/>
            </w:pPr>
            <w:r>
              <w:t xml:space="preserve">Adjusted earnings</w:t>
            </w:r>
          </w:p>
        </w:tc>
        <w:tc>
          <w:tcPr/>
          <w:p>
            <w:pPr>
              <w:pStyle w:val="Compact"/>
              <w:jc w:val="right"/>
            </w:pPr>
            <w:r>
              <w:t xml:space="preserve">$2.8B</w:t>
            </w:r>
          </w:p>
        </w:tc>
      </w:tr>
      <w:tr>
        <w:tc>
          <w:tcPr/>
          <w:p>
            <w:pPr>
              <w:pStyle w:val="Compact"/>
            </w:pPr>
            <w:r>
              <w:t xml:space="preserve">Adjusted EPS</w:t>
            </w:r>
          </w:p>
        </w:tc>
        <w:tc>
          <w:tcPr/>
          <w:p>
            <w:pPr>
              <w:pStyle w:val="Compact"/>
              <w:jc w:val="right"/>
            </w:pPr>
            <w:r>
              <w:t xml:space="preserve">$1.41</w:t>
            </w:r>
          </w:p>
        </w:tc>
      </w:tr>
      <w:tr>
        <w:tc>
          <w:tcPr/>
          <w:p>
            <w:pPr>
              <w:pStyle w:val="Compact"/>
            </w:pPr>
            <w:r>
              <w:t xml:space="preserve">Cash flow from operations</w:t>
            </w:r>
          </w:p>
        </w:tc>
        <w:tc>
          <w:tcPr/>
          <w:p>
            <w:pPr>
              <w:pStyle w:val="Compact"/>
              <w:jc w:val="right"/>
            </w:pPr>
            <w:r>
              <w:t xml:space="preserve">$2.5B</w:t>
            </w:r>
          </w:p>
        </w:tc>
      </w:tr>
      <w:tr>
        <w:tc>
          <w:tcPr/>
          <w:p>
            <w:pPr>
              <w:pStyle w:val="Compact"/>
            </w:pPr>
            <w:r>
              <w:t xml:space="preserve">CFFO excluding working capital</w:t>
            </w:r>
          </w:p>
        </w:tc>
        <w:tc>
          <w:tcPr/>
          <w:p>
            <w:pPr>
              <w:pStyle w:val="Compact"/>
              <w:jc w:val="right"/>
            </w:pPr>
            <w:r>
              <w:t xml:space="preserve">$7.1B</w:t>
            </w:r>
          </w:p>
        </w:tc>
      </w:tr>
      <w:tr>
        <w:tc>
          <w:tcPr/>
          <w:p>
            <w:pPr>
              <w:pStyle w:val="Compact"/>
            </w:pPr>
            <w:r>
              <w:t xml:space="preserve">Adjusted free cash flow</w:t>
            </w:r>
          </w:p>
        </w:tc>
        <w:tc>
          <w:tcPr/>
          <w:p>
            <w:pPr>
              <w:pStyle w:val="Compact"/>
              <w:jc w:val="right"/>
            </w:pPr>
            <w:r>
              <w:t xml:space="preserve">$4.1B</w:t>
            </w:r>
          </w:p>
        </w:tc>
      </w:tr>
      <w:tr>
        <w:tc>
          <w:tcPr/>
          <w:p>
            <w:pPr>
              <w:pStyle w:val="Compact"/>
            </w:pPr>
            <w:r>
              <w:t xml:space="preserve">Production</w:t>
            </w:r>
          </w:p>
        </w:tc>
        <w:tc>
          <w:tcPr/>
          <w:p>
            <w:pPr>
              <w:pStyle w:val="Compact"/>
              <w:jc w:val="right"/>
            </w:pPr>
            <w:r>
              <w:t xml:space="preserve">3.858 MMboe/d</w:t>
            </w:r>
          </w:p>
        </w:tc>
      </w:tr>
      <w:tr>
        <w:tc>
          <w:tcPr/>
          <w:p>
            <w:pPr>
              <w:pStyle w:val="Compact"/>
            </w:pPr>
            <w:r>
              <w:t xml:space="preserve">Capital expenditure</w:t>
            </w:r>
          </w:p>
        </w:tc>
        <w:tc>
          <w:tcPr/>
          <w:p>
            <w:pPr>
              <w:pStyle w:val="Compact"/>
              <w:jc w:val="right"/>
            </w:pPr>
            <w:r>
              <w:t xml:space="preserve">$4.1B</w:t>
            </w:r>
          </w:p>
        </w:tc>
      </w:tr>
      <w:tr>
        <w:tc>
          <w:tcPr/>
          <w:p>
            <w:pPr>
              <w:pStyle w:val="Compact"/>
            </w:pPr>
            <w:r>
              <w:t xml:space="preserve">Share repurchases</w:t>
            </w:r>
          </w:p>
        </w:tc>
        <w:tc>
          <w:tcPr/>
          <w:p>
            <w:pPr>
              <w:pStyle w:val="Compact"/>
              <w:jc w:val="right"/>
            </w:pPr>
            <w:r>
              <w:t xml:space="preserve">$2.5B</w:t>
            </w:r>
          </w:p>
        </w:tc>
      </w:tr>
      <w:tr>
        <w:tc>
          <w:tcPr/>
          <w:p>
            <w:pPr>
              <w:pStyle w:val="Compact"/>
            </w:pPr>
            <w:r>
              <w:t xml:space="preserve">Cash returned to shareholders</w:t>
            </w:r>
          </w:p>
        </w:tc>
        <w:tc>
          <w:tcPr/>
          <w:p>
            <w:pPr>
              <w:pStyle w:val="Compact"/>
              <w:jc w:val="right"/>
            </w:pPr>
            <w:r>
              <w:t xml:space="preserve">$6.0B</w:t>
            </w:r>
          </w:p>
        </w:tc>
      </w:tr>
    </w:tbl>
    <w:p>
      <w:pPr>
        <w:pStyle w:val="BodyText"/>
      </w:pPr>
      <w:r>
        <w:t xml:space="preserve">Two distortions weighed heavily on 1Q:</w:t>
      </w:r>
    </w:p>
    <w:p>
      <w:pPr>
        <w:pStyle w:val="Compact"/>
        <w:numPr>
          <w:ilvl w:val="0"/>
          <w:numId w:val="1002"/>
        </w:numPr>
      </w:pPr>
      <w:r>
        <w:t xml:space="preserve">Approximately</w:t>
      </w:r>
      <w:r>
        <w:t xml:space="preserve"> </w:t>
      </w:r>
      <w:r>
        <w:rPr>
          <w:b/>
          <w:bCs/>
        </w:rPr>
        <w:t xml:space="preserve">$3 billion of unfavorable timing effects</w:t>
      </w:r>
      <w:r>
        <w:t xml:space="preserve">, split between inventory accounting and mark-to-market losses on derivatives associated with physical cargoes.</w:t>
      </w:r>
    </w:p>
    <w:p>
      <w:pPr>
        <w:pStyle w:val="Compact"/>
        <w:numPr>
          <w:ilvl w:val="0"/>
          <w:numId w:val="1002"/>
        </w:numPr>
      </w:pPr>
      <w:r>
        <w:t xml:space="preserve">A</w:t>
      </w:r>
      <w:r>
        <w:t xml:space="preserve"> </w:t>
      </w:r>
      <w:r>
        <w:rPr>
          <w:b/>
          <w:bCs/>
        </w:rPr>
        <w:t xml:space="preserve">$4.6 billion working-capital outflow</w:t>
      </w:r>
      <w:r>
        <w:t xml:space="preserve">, driven largely by rapidly rising commodity prices and inventory builds.</w:t>
      </w:r>
    </w:p>
    <w:p>
      <w:pPr>
        <w:pStyle w:val="FirstParagraph"/>
      </w:pPr>
      <w:r>
        <w:t xml:space="preserve">Chevron expected about</w:t>
      </w:r>
      <w:r>
        <w:t xml:space="preserve"> </w:t>
      </w:r>
      <w:r>
        <w:rPr>
          <w:b/>
          <w:bCs/>
        </w:rPr>
        <w:t xml:space="preserve">$1 billion of the paper-position effects to unwind in 2Q</w:t>
      </w:r>
      <w:r>
        <w:t xml:space="preserve">, with most associated cargoes delivered in April. That should create a mechanical sequential tailwind, although continued commodity-price volatility could generate new timing effects elsewhere.</w:t>
      </w:r>
    </w:p>
    <w:p>
      <w:pPr>
        <w:pStyle w:val="BodyText"/>
      </w:pPr>
      <w:r>
        <w:t xml:space="preserve">The first-quarter base is therefore not clean. Investors should focus on adjusted segment performance and cash flow rather than simply comparing reported EPS sequentially.</w:t>
      </w:r>
    </w:p>
    <w:p>
      <w:r>
        <w:pict>
          <v:rect style="width:0;height:1.5pt" o:hralign="center" o:hrstd="t" o:hr="t"/>
        </w:pict>
      </w:r>
    </w:p>
    <w:bookmarkEnd w:id="10"/>
    <w:bookmarkStart w:id="14" w:name="the-likely-2q-earnings-bridge"/>
    <w:p>
      <w:pPr>
        <w:pStyle w:val="Heading2"/>
      </w:pPr>
      <w:r>
        <w:t xml:space="preserve">The likely 2Q earnings bridge</w:t>
      </w:r>
    </w:p>
    <w:bookmarkStart w:id="11" w:name="Xf1dbbe151a77ca1a023805e9eed42694dbeefe9"/>
    <w:p>
      <w:pPr>
        <w:pStyle w:val="Heading3"/>
      </w:pPr>
      <w:r>
        <w:t xml:space="preserve">1. Upstream should remain the main earnings engine</w:t>
      </w:r>
    </w:p>
    <w:p>
      <w:pPr>
        <w:pStyle w:val="FirstParagraph"/>
      </w:pPr>
      <w:r>
        <w:t xml:space="preserve">Chevron carried strong production momentum into the quarter:</w:t>
      </w:r>
    </w:p>
    <w:p>
      <w:pPr>
        <w:pStyle w:val="Compact"/>
        <w:numPr>
          <w:ilvl w:val="0"/>
          <w:numId w:val="1003"/>
        </w:numPr>
      </w:pPr>
      <w:r>
        <w:t xml:space="preserve">Management expected</w:t>
      </w:r>
      <w:r>
        <w:t xml:space="preserve"> </w:t>
      </w:r>
      <w:r>
        <w:rPr>
          <w:b/>
          <w:bCs/>
        </w:rPr>
        <w:t xml:space="preserve">2Q production to exceed 1Q production</w:t>
      </w:r>
      <w:r>
        <w:t xml:space="preserve">.</w:t>
      </w:r>
    </w:p>
    <w:p>
      <w:pPr>
        <w:pStyle w:val="Compact"/>
        <w:numPr>
          <w:ilvl w:val="0"/>
          <w:numId w:val="1003"/>
        </w:numPr>
      </w:pPr>
      <w:r>
        <w:t xml:space="preserve">Full-year production-growth guidance remained</w:t>
      </w:r>
      <w:r>
        <w:t xml:space="preserve"> </w:t>
      </w:r>
      <w:r>
        <w:rPr>
          <w:b/>
          <w:bCs/>
        </w:rPr>
        <w:t xml:space="preserve">7%–10%</w:t>
      </w:r>
      <w:r>
        <w:t xml:space="preserve">.</w:t>
      </w:r>
    </w:p>
    <w:p>
      <w:pPr>
        <w:pStyle w:val="Compact"/>
        <w:numPr>
          <w:ilvl w:val="0"/>
          <w:numId w:val="1003"/>
        </w:numPr>
      </w:pPr>
      <w:r>
        <w:t xml:space="preserve">U.S. production entered the quarter above</w:t>
      </w:r>
      <w:r>
        <w:t xml:space="preserve"> </w:t>
      </w:r>
      <w:r>
        <w:rPr>
          <w:b/>
          <w:bCs/>
        </w:rPr>
        <w:t xml:space="preserve">2 million boe/d</w:t>
      </w:r>
      <w:r>
        <w:t xml:space="preserve">.</w:t>
      </w:r>
    </w:p>
    <w:p>
      <w:pPr>
        <w:pStyle w:val="Compact"/>
        <w:numPr>
          <w:ilvl w:val="0"/>
          <w:numId w:val="1003"/>
        </w:numPr>
      </w:pPr>
      <w:r>
        <w:t xml:space="preserve">The Permian was producing above</w:t>
      </w:r>
      <w:r>
        <w:t xml:space="preserve"> </w:t>
      </w:r>
      <w:r>
        <w:rPr>
          <w:b/>
          <w:bCs/>
        </w:rPr>
        <w:t xml:space="preserve">1 million boe/d</w:t>
      </w:r>
      <w:r>
        <w:t xml:space="preserve">.</w:t>
      </w:r>
    </w:p>
    <w:p>
      <w:pPr>
        <w:pStyle w:val="Compact"/>
        <w:numPr>
          <w:ilvl w:val="0"/>
          <w:numId w:val="1003"/>
        </w:numPr>
      </w:pPr>
      <w:r>
        <w:t xml:space="preserve">Tengizchevroil had returned to full operation and was producing above</w:t>
      </w:r>
      <w:r>
        <w:t xml:space="preserve"> </w:t>
      </w:r>
      <w:r>
        <w:rPr>
          <w:b/>
          <w:bCs/>
        </w:rPr>
        <w:t xml:space="preserve">1 million boe/d at the asset level</w:t>
      </w:r>
      <w:r>
        <w:t xml:space="preserve">.</w:t>
      </w:r>
    </w:p>
    <w:p>
      <w:pPr>
        <w:pStyle w:val="Compact"/>
        <w:numPr>
          <w:ilvl w:val="0"/>
          <w:numId w:val="1003"/>
        </w:numPr>
      </w:pPr>
      <w:r>
        <w:t xml:space="preserve">Gorgon and Wheatstone LNG were running at full rates.</w:t>
      </w:r>
    </w:p>
    <w:p>
      <w:pPr>
        <w:pStyle w:val="Compact"/>
        <w:numPr>
          <w:ilvl w:val="0"/>
          <w:numId w:val="1003"/>
        </w:numPr>
      </w:pPr>
      <w:r>
        <w:t xml:space="preserve">Legacy Hess assets added Guyana and Bakken volumes to the portfolio.</w:t>
      </w:r>
    </w:p>
    <w:p>
      <w:pPr>
        <w:pStyle w:val="FirstParagraph"/>
      </w:pPr>
      <w:r>
        <w:t xml:space="preserve">Higher commodity prices should amplify the benefit from those incremental barrels. The Q1 call indicated that less than 5% of Chevron’s portfolio was located in the Middle East, limiting direct production exposure while leaving the company highly exposed to the higher global price environment.</w:t>
      </w:r>
    </w:p>
    <w:p>
      <w:pPr>
        <w:pStyle w:val="BodyText"/>
      </w:pPr>
      <w:r>
        <w:rPr>
          <w:b/>
          <w:bCs/>
        </w:rPr>
        <w:t xml:space="preserve">Key items to watch:</w:t>
      </w:r>
    </w:p>
    <w:p>
      <w:pPr>
        <w:pStyle w:val="Compact"/>
        <w:numPr>
          <w:ilvl w:val="0"/>
          <w:numId w:val="1004"/>
        </w:numPr>
      </w:pPr>
      <w:r>
        <w:t xml:space="preserve">Total production versus 1Q’s 3.858 MMboe/d.</w:t>
      </w:r>
    </w:p>
    <w:p>
      <w:pPr>
        <w:pStyle w:val="Compact"/>
        <w:numPr>
          <w:ilvl w:val="0"/>
          <w:numId w:val="1004"/>
        </w:numPr>
      </w:pPr>
      <w:r>
        <w:t xml:space="preserve">Guyana production and project execution following the Hess integration.</w:t>
      </w:r>
    </w:p>
    <w:p>
      <w:pPr>
        <w:pStyle w:val="Compact"/>
        <w:numPr>
          <w:ilvl w:val="0"/>
          <w:numId w:val="1004"/>
        </w:numPr>
      </w:pPr>
      <w:r>
        <w:t xml:space="preserve">TCO availability, debottlenecking performance and export reliability.</w:t>
      </w:r>
    </w:p>
    <w:p>
      <w:pPr>
        <w:pStyle w:val="Compact"/>
        <w:numPr>
          <w:ilvl w:val="0"/>
          <w:numId w:val="1004"/>
        </w:numPr>
      </w:pPr>
      <w:r>
        <w:t xml:space="preserve">Whether the Permian remains on a free-cash-flow plateau or management begins discussing renewed growth.</w:t>
      </w:r>
    </w:p>
    <w:p>
      <w:pPr>
        <w:pStyle w:val="Compact"/>
        <w:numPr>
          <w:ilvl w:val="0"/>
          <w:numId w:val="1004"/>
        </w:numPr>
      </w:pPr>
      <w:r>
        <w:t xml:space="preserve">Eastern Mediterranean volumes following Tamar and Leviathan expansions.</w:t>
      </w:r>
    </w:p>
    <w:p>
      <w:pPr>
        <w:pStyle w:val="Compact"/>
        <w:numPr>
          <w:ilvl w:val="0"/>
          <w:numId w:val="1004"/>
        </w:numPr>
      </w:pPr>
      <w:r>
        <w:t xml:space="preserve">LNG realizations as higher spot and lagged oil-linked pricing flows through.</w:t>
      </w:r>
    </w:p>
    <w:bookmarkEnd w:id="11"/>
    <w:bookmarkStart w:id="12" w:name="Xd3afca34adc91387ca8e54e36b6440f6f1927bc"/>
    <w:p>
      <w:pPr>
        <w:pStyle w:val="Heading3"/>
      </w:pPr>
      <w:r>
        <w:t xml:space="preserve">2. Downstream could produce the quarter’s biggest swing</w:t>
      </w:r>
    </w:p>
    <w:p>
      <w:pPr>
        <w:pStyle w:val="FirstParagraph"/>
      </w:pPr>
      <w:r>
        <w:t xml:space="preserve">Chevron’s international downstream business lost more than</w:t>
      </w:r>
      <w:r>
        <w:t xml:space="preserve"> </w:t>
      </w:r>
      <w:r>
        <w:rPr>
          <w:b/>
          <w:bCs/>
        </w:rPr>
        <w:t xml:space="preserve">$1 billion in 1Q</w:t>
      </w:r>
      <w:r>
        <w:t xml:space="preserve">, largely because of unfavorable accounting timing and higher transportation costs. That segment has substantial room for sequential recovery.</w:t>
      </w:r>
    </w:p>
    <w:p>
      <w:pPr>
        <w:pStyle w:val="BodyText"/>
      </w:pPr>
      <w:r>
        <w:t xml:space="preserve">Operationally, Chevron expected:</w:t>
      </w:r>
    </w:p>
    <w:p>
      <w:pPr>
        <w:pStyle w:val="Compact"/>
        <w:numPr>
          <w:ilvl w:val="0"/>
          <w:numId w:val="1005"/>
        </w:numPr>
      </w:pPr>
      <w:r>
        <w:t xml:space="preserve">More than</w:t>
      </w:r>
      <w:r>
        <w:t xml:space="preserve"> </w:t>
      </w:r>
      <w:r>
        <w:rPr>
          <w:b/>
          <w:bCs/>
        </w:rPr>
        <w:t xml:space="preserve">80% utilization at its Asian refineries</w:t>
      </w:r>
      <w:r>
        <w:t xml:space="preserve">.</w:t>
      </w:r>
    </w:p>
    <w:p>
      <w:pPr>
        <w:pStyle w:val="Compact"/>
        <w:numPr>
          <w:ilvl w:val="0"/>
          <w:numId w:val="1005"/>
        </w:numPr>
      </w:pPr>
      <w:r>
        <w:t xml:space="preserve">Global equity crude throughput to more than double year over year.</w:t>
      </w:r>
    </w:p>
    <w:p>
      <w:pPr>
        <w:pStyle w:val="Compact"/>
        <w:numPr>
          <w:ilvl w:val="0"/>
          <w:numId w:val="1005"/>
        </w:numPr>
      </w:pPr>
      <w:r>
        <w:t xml:space="preserve">Equity crude to represent roughly</w:t>
      </w:r>
      <w:r>
        <w:t xml:space="preserve"> </w:t>
      </w:r>
      <w:r>
        <w:rPr>
          <w:b/>
          <w:bCs/>
        </w:rPr>
        <w:t xml:space="preserve">40% of Asian refinery throughput</w:t>
      </w:r>
      <w:r>
        <w:t xml:space="preserve">.</w:t>
      </w:r>
    </w:p>
    <w:p>
      <w:pPr>
        <w:pStyle w:val="Compact"/>
        <w:numPr>
          <w:ilvl w:val="0"/>
          <w:numId w:val="1005"/>
        </w:numPr>
      </w:pPr>
      <w:r>
        <w:t xml:space="preserve">More than</w:t>
      </w:r>
      <w:r>
        <w:t xml:space="preserve"> </w:t>
      </w:r>
      <w:r>
        <w:rPr>
          <w:b/>
          <w:bCs/>
        </w:rPr>
        <w:t xml:space="preserve">50% equity crude throughput in the U.S. system</w:t>
      </w:r>
      <w:r>
        <w:t xml:space="preserve">.</w:t>
      </w:r>
    </w:p>
    <w:p>
      <w:pPr>
        <w:pStyle w:val="FirstParagraph"/>
      </w:pPr>
      <w:r>
        <w:t xml:space="preserve">That integration matters in a disrupted market. Chevron can direct crude from Guyana, TCO, the Permian, Venezuela and Argentina into its refining network, helping maintain utilization when competitors may struggle to source feedstock.</w:t>
      </w:r>
    </w:p>
    <w:p>
      <w:pPr>
        <w:pStyle w:val="BodyText"/>
      </w:pPr>
      <w:r>
        <w:t xml:space="preserve">Investors should separate three effects:</w:t>
      </w:r>
    </w:p>
    <w:p>
      <w:pPr>
        <w:pStyle w:val="Compact"/>
        <w:numPr>
          <w:ilvl w:val="0"/>
          <w:numId w:val="1006"/>
        </w:numPr>
      </w:pPr>
      <w:r>
        <w:rPr>
          <w:b/>
          <w:bCs/>
        </w:rPr>
        <w:t xml:space="preserve">Underlying refining margins and utilization</w:t>
      </w:r>
    </w:p>
    <w:p>
      <w:pPr>
        <w:pStyle w:val="Compact"/>
        <w:numPr>
          <w:ilvl w:val="0"/>
          <w:numId w:val="1006"/>
        </w:numPr>
      </w:pPr>
      <w:r>
        <w:rPr>
          <w:b/>
          <w:bCs/>
        </w:rPr>
        <w:t xml:space="preserve">The anticipated reversal of Q1 timing losses</w:t>
      </w:r>
    </w:p>
    <w:p>
      <w:pPr>
        <w:pStyle w:val="Compact"/>
        <w:numPr>
          <w:ilvl w:val="0"/>
          <w:numId w:val="1006"/>
        </w:numPr>
      </w:pPr>
      <w:r>
        <w:rPr>
          <w:b/>
          <w:bCs/>
        </w:rPr>
        <w:t xml:space="preserve">Potential new mark-to-market or inventory effects caused by volatile prices</w:t>
      </w:r>
    </w:p>
    <w:p>
      <w:pPr>
        <w:pStyle w:val="FirstParagraph"/>
      </w:pPr>
      <w:r>
        <w:t xml:space="preserve">A large reported downstream rebound would be positive, but the market will want to know how much reflects repeatable margin capture rather than accounting reversals.</w:t>
      </w:r>
    </w:p>
    <w:bookmarkEnd w:id="12"/>
    <w:bookmarkStart w:id="13" w:name="X4aaeab9a79f40345fd5e529dc28cc8d4c785a47"/>
    <w:p>
      <w:pPr>
        <w:pStyle w:val="Heading3"/>
      </w:pPr>
      <w:r>
        <w:t xml:space="preserve">3. Chemicals should improve from depressed levels</w:t>
      </w:r>
    </w:p>
    <w:p>
      <w:pPr>
        <w:pStyle w:val="FirstParagraph"/>
      </w:pPr>
      <w:r>
        <w:t xml:space="preserve">Management said olefins-chain margins improved sharply during 2Q and could be above mid-cycle levels. Chevron Phillips Chemical is primarily exposed to advantaged U.S. ethane feedstock, placing it in a favorable position relative to naphtha-based crackers facing feedstock constraints.</w:t>
      </w:r>
    </w:p>
    <w:p>
      <w:pPr>
        <w:pStyle w:val="BodyText"/>
      </w:pPr>
      <w:r>
        <w:t xml:space="preserve">Chemicals are unlikely to dominate consolidated results, but a meaningful improvement in affiliate earnings and distributions would add to the broader downstream recovery.</w:t>
      </w:r>
    </w:p>
    <w:p>
      <w:r>
        <w:pict>
          <v:rect style="width:0;height:1.5pt" o:hralign="center" o:hrstd="t" o:hr="t"/>
        </w:pict>
      </w:r>
    </w:p>
    <w:bookmarkEnd w:id="13"/>
    <w:bookmarkEnd w:id="14"/>
    <w:bookmarkStart w:id="16" w:name="Xf9761b230e7344c3a947bd1245a0ab30fe4da9c"/>
    <w:p>
      <w:pPr>
        <w:pStyle w:val="Heading2"/>
      </w:pPr>
      <w:r>
        <w:t xml:space="preserve">Cash flow is the most important financial metric</w:t>
      </w:r>
    </w:p>
    <w:p>
      <w:pPr>
        <w:pStyle w:val="FirstParagraph"/>
      </w:pPr>
      <w:r>
        <w:t xml:space="preserve">The 1Q cash-flow statement looked weak at first glance: CFFO was only</w:t>
      </w:r>
      <w:r>
        <w:t xml:space="preserve"> </w:t>
      </w:r>
      <m:oMath>
        <m:r>
          <m:t>2.5</m:t>
        </m:r>
        <m:r>
          <m:t>b</m:t>
        </m:r>
        <m:r>
          <m:t>i</m:t>
        </m:r>
        <m:r>
          <m:t>l</m:t>
        </m:r>
        <m:r>
          <m:t>l</m:t>
        </m:r>
        <m:r>
          <m:t>i</m:t>
        </m:r>
        <m:r>
          <m:t>o</m:t>
        </m:r>
        <m:r>
          <m:t>n</m:t>
        </m:r>
        <m:r>
          <m:rPr>
            <m:sty m:val="p"/>
          </m:rPr>
          <m:t>*</m:t>
        </m:r>
        <m:r>
          <m:rPr>
            <m:sty m:val="p"/>
          </m:rPr>
          <m:t>*</m:t>
        </m:r>
        <m:r>
          <m:rPr>
            <m:sty m:val="p"/>
          </m:rPr>
          <m:t>,</m:t>
        </m:r>
        <m:r>
          <m:t>f</m:t>
        </m:r>
        <m:r>
          <m:t>r</m:t>
        </m:r>
        <m:r>
          <m:t>e</m:t>
        </m:r>
        <m:r>
          <m:t>e</m:t>
        </m:r>
        <m:r>
          <m:t>c</m:t>
        </m:r>
        <m:r>
          <m:t>a</m:t>
        </m:r>
        <m:r>
          <m:t>s</m:t>
        </m:r>
        <m:r>
          <m:t>h</m:t>
        </m:r>
        <m:r>
          <m:t>f</m:t>
        </m:r>
        <m:r>
          <m:t>l</m:t>
        </m:r>
        <m:r>
          <m:t>o</m:t>
        </m:r>
        <m:r>
          <m:t>w</m:t>
        </m:r>
        <m:r>
          <m:t>w</m:t>
        </m:r>
        <m:r>
          <m:t>a</m:t>
        </m:r>
        <m:r>
          <m:t>s</m:t>
        </m:r>
        <m:r>
          <m:t>n</m:t>
        </m:r>
        <m:r>
          <m:t>e</m:t>
        </m:r>
        <m:r>
          <m:t>g</m:t>
        </m:r>
        <m:r>
          <m:t>a</m:t>
        </m:r>
        <m:r>
          <m:t>t</m:t>
        </m:r>
        <m:r>
          <m:t>i</m:t>
        </m:r>
        <m:r>
          <m:t>v</m:t>
        </m:r>
        <m:r>
          <m:t>e</m:t>
        </m:r>
        <m:r>
          <m:rPr>
            <m:sty m:val="p"/>
          </m:rPr>
          <m:t>,</m:t>
        </m:r>
        <m:r>
          <m:t>a</m:t>
        </m:r>
        <m:r>
          <m:t>n</m:t>
        </m:r>
        <m:r>
          <m:t>d</m:t>
        </m:r>
        <m:r>
          <m:t>C</m:t>
        </m:r>
        <m:r>
          <m:t>h</m:t>
        </m:r>
        <m:r>
          <m:t>e</m:t>
        </m:r>
        <m:r>
          <m:t>v</m:t>
        </m:r>
        <m:r>
          <m:t>r</m:t>
        </m:r>
        <m:r>
          <m:t>o</m:t>
        </m:r>
        <m:r>
          <m:t>n</m:t>
        </m:r>
        <m:r>
          <m:t>i</m:t>
        </m:r>
        <m:r>
          <m:t>s</m:t>
        </m:r>
        <m:r>
          <m:t>s</m:t>
        </m:r>
        <m:r>
          <m:t>u</m:t>
        </m:r>
        <m:r>
          <m:t>e</m:t>
        </m:r>
        <m:r>
          <m:t>d</m:t>
        </m:r>
        <m:r>
          <m:t>m</m:t>
        </m:r>
        <m:r>
          <m:t>o</m:t>
        </m:r>
        <m:r>
          <m:t>r</m:t>
        </m:r>
        <m:r>
          <m:t>e</m:t>
        </m:r>
        <m:r>
          <m:t>t</m:t>
        </m:r>
        <m:r>
          <m:t>h</m:t>
        </m:r>
        <m:r>
          <m:t>a</m:t>
        </m:r>
        <m:r>
          <m:t>n</m:t>
        </m:r>
        <m:r>
          <m:rPr>
            <m:sty m:val="p"/>
          </m:rPr>
          <m:t>*</m:t>
        </m:r>
        <m:r>
          <m:rPr>
            <m:sty m:val="p"/>
          </m:rPr>
          <m:t>*</m:t>
        </m:r>
      </m:oMath>
      <w:r>
        <w:rPr>
          <w:b/>
          <w:bCs/>
        </w:rPr>
        <w:t xml:space="preserve">5 billion of commercial paper</w:t>
      </w:r>
      <w:r>
        <w:t xml:space="preserve"> </w:t>
      </w:r>
      <w:r>
        <w:t xml:space="preserve">during the period.</w:t>
      </w:r>
    </w:p>
    <w:p>
      <w:pPr>
        <w:pStyle w:val="BodyText"/>
      </w:pPr>
      <w:r>
        <w:t xml:space="preserve">However, the underlying picture was better:</w:t>
      </w:r>
    </w:p>
    <w:p>
      <w:pPr>
        <w:pStyle w:val="Compact"/>
        <w:numPr>
          <w:ilvl w:val="0"/>
          <w:numId w:val="1007"/>
        </w:numPr>
      </w:pPr>
      <w:r>
        <w:t xml:space="preserve">CFFO excluding working capital was $7.1 billion.</w:t>
      </w:r>
    </w:p>
    <w:p>
      <w:pPr>
        <w:pStyle w:val="Compact"/>
        <w:numPr>
          <w:ilvl w:val="0"/>
          <w:numId w:val="1007"/>
        </w:numPr>
      </w:pPr>
      <w:r>
        <w:t xml:space="preserve">Adjusted free cash flow was $4.1 billion.</w:t>
      </w:r>
    </w:p>
    <w:p>
      <w:pPr>
        <w:pStyle w:val="Compact"/>
        <w:numPr>
          <w:ilvl w:val="0"/>
          <w:numId w:val="1007"/>
        </w:numPr>
      </w:pPr>
      <w:r>
        <w:t xml:space="preserve">Roughly half of the commercial paper had already been repaid by the Q1 call.</w:t>
      </w:r>
    </w:p>
    <w:p>
      <w:pPr>
        <w:pStyle w:val="Compact"/>
        <w:numPr>
          <w:ilvl w:val="0"/>
          <w:numId w:val="1007"/>
        </w:numPr>
      </w:pPr>
      <w:r>
        <w:t xml:space="preserve">Management expected short-term balances to decline further during 2Q.</w:t>
      </w:r>
    </w:p>
    <w:p>
      <w:pPr>
        <w:pStyle w:val="Compact"/>
        <w:numPr>
          <w:ilvl w:val="0"/>
          <w:numId w:val="1007"/>
        </w:numPr>
      </w:pPr>
      <w:r>
        <w:t xml:space="preserve">TCO shifted to monthly dividend distributions.</w:t>
      </w:r>
    </w:p>
    <w:p>
      <w:pPr>
        <w:pStyle w:val="Compact"/>
        <w:numPr>
          <w:ilvl w:val="0"/>
          <w:numId w:val="1007"/>
        </w:numPr>
      </w:pPr>
      <w:r>
        <w:t xml:space="preserve">Affiliate distributions were expected to increase by more than $2 billion from 1Q.</w:t>
      </w:r>
    </w:p>
    <w:bookmarkStart w:id="15" w:name="X99a976c48035ff6a57cde7f34497aef9d395cb0"/>
    <w:p>
      <w:pPr>
        <w:pStyle w:val="Heading3"/>
      </w:pPr>
      <w:r>
        <w:t xml:space="preserve">What would constitute a high-quality result?</w:t>
      </w:r>
    </w:p>
    <w:p>
      <w:pPr>
        <w:pStyle w:val="FirstParagraph"/>
      </w:pPr>
      <w:r>
        <w:t xml:space="preserve">A strong report should show:</w:t>
      </w:r>
    </w:p>
    <w:p>
      <w:pPr>
        <w:pStyle w:val="Compact"/>
        <w:numPr>
          <w:ilvl w:val="0"/>
          <w:numId w:val="1008"/>
        </w:numPr>
      </w:pPr>
      <w:r>
        <w:t xml:space="preserve">Material recovery in reported CFFO.</w:t>
      </w:r>
    </w:p>
    <w:p>
      <w:pPr>
        <w:pStyle w:val="Compact"/>
        <w:numPr>
          <w:ilvl w:val="0"/>
          <w:numId w:val="1008"/>
        </w:numPr>
      </w:pPr>
      <w:r>
        <w:t xml:space="preserve">Partial or full normalization of working capital.</w:t>
      </w:r>
    </w:p>
    <w:p>
      <w:pPr>
        <w:pStyle w:val="Compact"/>
        <w:numPr>
          <w:ilvl w:val="0"/>
          <w:numId w:val="1008"/>
        </w:numPr>
      </w:pPr>
      <w:r>
        <w:t xml:space="preserve">Lower commercial-paper balances.</w:t>
      </w:r>
    </w:p>
    <w:p>
      <w:pPr>
        <w:pStyle w:val="Compact"/>
        <w:numPr>
          <w:ilvl w:val="0"/>
          <w:numId w:val="1008"/>
        </w:numPr>
      </w:pPr>
      <w:r>
        <w:t xml:space="preserve">Strong affiliate dividends without reliance on one-time loans.</w:t>
      </w:r>
    </w:p>
    <w:p>
      <w:pPr>
        <w:pStyle w:val="Compact"/>
        <w:numPr>
          <w:ilvl w:val="0"/>
          <w:numId w:val="1008"/>
        </w:numPr>
      </w:pPr>
      <w:r>
        <w:t xml:space="preserve">Free cash flow comfortably covering dividends and repurchases.</w:t>
      </w:r>
    </w:p>
    <w:p>
      <w:pPr>
        <w:pStyle w:val="FirstParagraph"/>
      </w:pPr>
      <w:r>
        <w:t xml:space="preserve">A headline earnings beat accompanied by another large working-capital drain would be lower quality. Conversely, EPS could be noisy while strong cash conversion would still support a favorable interpretation.</w:t>
      </w:r>
    </w:p>
    <w:p>
      <w:r>
        <w:pict>
          <v:rect style="width:0;height:1.5pt" o:hralign="center" o:hrstd="t" o:hr="t"/>
        </w:pict>
      </w:r>
    </w:p>
    <w:bookmarkEnd w:id="15"/>
    <w:bookmarkEnd w:id="16"/>
    <w:bookmarkStart w:id="17" w:name="Xc90d128a2e7335d6d804d643076cacdd7112a25"/>
    <w:p>
      <w:pPr>
        <w:pStyle w:val="Heading2"/>
      </w:pPr>
      <w:r>
        <w:t xml:space="preserve">Capital returns: discipline matters more than an increase</w:t>
      </w:r>
    </w:p>
    <w:p>
      <w:pPr>
        <w:pStyle w:val="FirstParagraph"/>
      </w:pPr>
      <w:r>
        <w:t xml:space="preserve">Chevron returned</w:t>
      </w:r>
      <w:r>
        <w:t xml:space="preserve"> </w:t>
      </w:r>
      <w:r>
        <w:rPr>
          <w:b/>
          <w:bCs/>
        </w:rPr>
        <w:t xml:space="preserve">$6 billion</w:t>
      </w:r>
      <w:r>
        <w:t xml:space="preserve"> </w:t>
      </w:r>
      <w:r>
        <w:t xml:space="preserve">to shareholders in 1Q, including:</w:t>
      </w:r>
    </w:p>
    <w:p>
      <w:pPr>
        <w:pStyle w:val="Compact"/>
        <w:numPr>
          <w:ilvl w:val="0"/>
          <w:numId w:val="1009"/>
        </w:numPr>
      </w:pPr>
      <w:r>
        <w:t xml:space="preserve">$3.5 billion of dividends.</w:t>
      </w:r>
    </w:p>
    <w:p>
      <w:pPr>
        <w:pStyle w:val="Compact"/>
        <w:numPr>
          <w:ilvl w:val="0"/>
          <w:numId w:val="1009"/>
        </w:numPr>
      </w:pPr>
      <w:r>
        <w:t xml:space="preserve">$2.5 billion of share repurchases.</w:t>
      </w:r>
    </w:p>
    <w:p>
      <w:pPr>
        <w:pStyle w:val="FirstParagraph"/>
      </w:pPr>
      <w:r>
        <w:t xml:space="preserve">Management had maintained a repurchase range of approximately</w:t>
      </w:r>
      <w:r>
        <w:t xml:space="preserve"> </w:t>
      </w:r>
      <m:oMath>
        <m:r>
          <m:t>2.5</m:t>
        </m:r>
        <m:r>
          <m:rPr>
            <m:sty m:val="p"/>
          </m:rPr>
          <m:t>–</m:t>
        </m:r>
      </m:oMath>
      <w:r>
        <w:rPr>
          <w:b/>
          <w:bCs/>
        </w:rPr>
        <w:t xml:space="preserve">3.0 billion per quarter</w:t>
      </w:r>
      <w:r>
        <w:t xml:space="preserve"> </w:t>
      </w:r>
      <w:r>
        <w:t xml:space="preserve">and a full-year capital budget of</w:t>
      </w:r>
      <w:r>
        <w:t xml:space="preserve"> </w:t>
      </w:r>
      <m:oMath>
        <m:r>
          <m:t>18</m:t>
        </m:r>
        <m:r>
          <m:rPr>
            <m:sty m:val="p"/>
          </m:rPr>
          <m:t>–</m:t>
        </m:r>
      </m:oMath>
      <w:r>
        <w:rPr>
          <w:b/>
          <w:bCs/>
        </w:rPr>
        <w:t xml:space="preserve">19 billion</w:t>
      </w:r>
      <w:r>
        <w:t xml:space="preserve">.</w:t>
      </w:r>
    </w:p>
    <w:p>
      <w:pPr>
        <w:pStyle w:val="BodyText"/>
      </w:pPr>
      <w:r>
        <w:t xml:space="preserve">With stronger oil prices and improving cash generation, investors may ask whether Chevron will:</w:t>
      </w:r>
    </w:p>
    <w:p>
      <w:pPr>
        <w:pStyle w:val="Compact"/>
        <w:numPr>
          <w:ilvl w:val="0"/>
          <w:numId w:val="1010"/>
        </w:numPr>
      </w:pPr>
      <w:r>
        <w:t xml:space="preserve">Raise buybacks.</w:t>
      </w:r>
    </w:p>
    <w:p>
      <w:pPr>
        <w:pStyle w:val="Compact"/>
        <w:numPr>
          <w:ilvl w:val="0"/>
          <w:numId w:val="1010"/>
        </w:numPr>
      </w:pPr>
      <w:r>
        <w:t xml:space="preserve">Build cash and reduce debt.</w:t>
      </w:r>
    </w:p>
    <w:p>
      <w:pPr>
        <w:pStyle w:val="Compact"/>
        <w:numPr>
          <w:ilvl w:val="0"/>
          <w:numId w:val="1010"/>
        </w:numPr>
      </w:pPr>
      <w:r>
        <w:t xml:space="preserve">Accelerate production growth.</w:t>
      </w:r>
    </w:p>
    <w:p>
      <w:pPr>
        <w:pStyle w:val="Compact"/>
        <w:numPr>
          <w:ilvl w:val="0"/>
          <w:numId w:val="1010"/>
        </w:numPr>
      </w:pPr>
      <w:r>
        <w:t xml:space="preserve">Fund new international opportunities.</w:t>
      </w:r>
    </w:p>
    <w:p>
      <w:pPr>
        <w:pStyle w:val="Compact"/>
        <w:numPr>
          <w:ilvl w:val="0"/>
          <w:numId w:val="1010"/>
        </w:numPr>
      </w:pPr>
      <w:r>
        <w:t xml:space="preserve">Pursue additional acquisitions or infrastructure investments.</w:t>
      </w:r>
    </w:p>
    <w:p>
      <w:pPr>
        <w:pStyle w:val="FirstParagraph"/>
      </w:pPr>
      <w:r>
        <w:t xml:space="preserve">The best answer for the stock may be a conservative one. Maintaining buybacks while reducing short-term debt and preserving the</w:t>
      </w:r>
      <w:r>
        <w:t xml:space="preserve"> </w:t>
      </w:r>
      <m:oMath>
        <m:r>
          <m:t>18</m:t>
        </m:r>
        <m:r>
          <m:rPr>
            <m:sty m:val="p"/>
          </m:rPr>
          <m:t>–</m:t>
        </m:r>
      </m:oMath>
      <w:r>
        <w:t xml:space="preserve">19 billion capital framework would demonstrate that Chevron is not treating a geopolitical price spike as a permanent planning assumption.</w:t>
      </w:r>
    </w:p>
    <w:p>
      <w:pPr>
        <w:pStyle w:val="BodyText"/>
      </w:pPr>
      <w:r>
        <w:t xml:space="preserve">Watch net debt closely. It increased to approximately</w:t>
      </w:r>
      <w:r>
        <w:t xml:space="preserve"> </w:t>
      </w:r>
      <w:r>
        <w:rPr>
          <w:b/>
          <w:bCs/>
        </w:rPr>
        <w:t xml:space="preserve">$40.1 billion</w:t>
      </w:r>
      <w:r>
        <w:t xml:space="preserve"> </w:t>
      </w:r>
      <w:r>
        <w:t xml:space="preserve">at the end of 1Q, partly reflecting the working-capital build and Hess-related balance-sheet expansion.</w:t>
      </w:r>
    </w:p>
    <w:p>
      <w:r>
        <w:pict>
          <v:rect style="width:0;height:1.5pt" o:hralign="center" o:hrstd="t" o:hr="t"/>
        </w:pict>
      </w:r>
    </w:p>
    <w:bookmarkEnd w:id="17"/>
    <w:bookmarkStart w:id="18" w:name="X4758b4f3ceab28e5b2e13e83f4f43c5891d1458"/>
    <w:p>
      <w:pPr>
        <w:pStyle w:val="Heading2"/>
      </w:pPr>
      <w:r>
        <w:t xml:space="preserve">Hess integration: production alone is not enough</w:t>
      </w:r>
    </w:p>
    <w:p>
      <w:pPr>
        <w:pStyle w:val="FirstParagraph"/>
      </w:pPr>
      <w:r>
        <w:t xml:space="preserve">The Hess acquisition has already materially increased Chevron’s production, particularly in Guyana and the Bakken. The upcoming report should provide evidence on the economic quality of that growth.</w:t>
      </w:r>
    </w:p>
    <w:p>
      <w:pPr>
        <w:pStyle w:val="BodyText"/>
      </w:pPr>
      <w:r>
        <w:t xml:space="preserve">Important questions include:</w:t>
      </w:r>
    </w:p>
    <w:p>
      <w:pPr>
        <w:pStyle w:val="Compact"/>
        <w:numPr>
          <w:ilvl w:val="0"/>
          <w:numId w:val="1011"/>
        </w:numPr>
      </w:pPr>
      <w:r>
        <w:t xml:space="preserve">Are integration costs tracking to plan?</w:t>
      </w:r>
    </w:p>
    <w:p>
      <w:pPr>
        <w:pStyle w:val="Compact"/>
        <w:numPr>
          <w:ilvl w:val="0"/>
          <w:numId w:val="1011"/>
        </w:numPr>
      </w:pPr>
      <w:r>
        <w:t xml:space="preserve">Is Chevron realizing operating and procurement savings?</w:t>
      </w:r>
    </w:p>
    <w:p>
      <w:pPr>
        <w:pStyle w:val="Compact"/>
        <w:numPr>
          <w:ilvl w:val="0"/>
          <w:numId w:val="1011"/>
        </w:numPr>
      </w:pPr>
      <w:r>
        <w:t xml:space="preserve">How are legacy Hess assets performing versus acquisition assumptions?</w:t>
      </w:r>
    </w:p>
    <w:p>
      <w:pPr>
        <w:pStyle w:val="Compact"/>
        <w:numPr>
          <w:ilvl w:val="0"/>
          <w:numId w:val="1011"/>
        </w:numPr>
      </w:pPr>
      <w:r>
        <w:t xml:space="preserve">Is Guyana generating the expected cash contribution?</w:t>
      </w:r>
    </w:p>
    <w:p>
      <w:pPr>
        <w:pStyle w:val="Compact"/>
        <w:numPr>
          <w:ilvl w:val="0"/>
          <w:numId w:val="1011"/>
        </w:numPr>
      </w:pPr>
      <w:r>
        <w:t xml:space="preserve">Does Chevron still view the Bakken as a long-term core asset?</w:t>
      </w:r>
    </w:p>
    <w:p>
      <w:pPr>
        <w:pStyle w:val="Compact"/>
        <w:numPr>
          <w:ilvl w:val="0"/>
          <w:numId w:val="1011"/>
        </w:numPr>
      </w:pPr>
      <w:r>
        <w:t xml:space="preserve">Are higher depreciation and operating expenses offsetting some of the volume benefit?</w:t>
      </w:r>
    </w:p>
    <w:p>
      <w:pPr>
        <w:pStyle w:val="FirstParagraph"/>
      </w:pPr>
      <w:r>
        <w:t xml:space="preserve">The share count is also important. Chevron had approximately</w:t>
      </w:r>
      <w:r>
        <w:t xml:space="preserve"> </w:t>
      </w:r>
      <w:r>
        <w:rPr>
          <w:b/>
          <w:bCs/>
        </w:rPr>
        <w:t xml:space="preserve">1.98 billion diluted shares</w:t>
      </w:r>
      <w:r>
        <w:t xml:space="preserve"> </w:t>
      </w:r>
      <w:r>
        <w:t xml:space="preserve">in 1Q, materially above the prior-year level because of the Hess transaction. Investors need earnings and cash-flow growth to exceed dilution over time.</w:t>
      </w:r>
    </w:p>
    <w:p>
      <w:r>
        <w:pict>
          <v:rect style="width:0;height:1.5pt" o:hralign="center" o:hrstd="t" o:hr="t"/>
        </w:pict>
      </w:r>
    </w:p>
    <w:bookmarkEnd w:id="18"/>
    <w:bookmarkStart w:id="19" w:name="X2d5aa16fe963dcb1bbc7110dabda4cb24c3eaaa"/>
    <w:p>
      <w:pPr>
        <w:pStyle w:val="Heading2"/>
      </w:pPr>
      <w:r>
        <w:t xml:space="preserve">Cost reductions could be an underappreciated catalyst</w:t>
      </w:r>
    </w:p>
    <w:p>
      <w:pPr>
        <w:pStyle w:val="FirstParagraph"/>
      </w:pPr>
      <w:r>
        <w:t xml:space="preserve">Chevron reiterated its target of</w:t>
      </w:r>
      <w:r>
        <w:t xml:space="preserve"> </w:t>
      </w:r>
      <m:oMath>
        <m:r>
          <m:t>3</m:t>
        </m:r>
        <m:r>
          <m:rPr>
            <m:sty m:val="p"/>
          </m:rPr>
          <m:t>–</m:t>
        </m:r>
      </m:oMath>
      <w:r>
        <w:rPr>
          <w:b/>
          <w:bCs/>
        </w:rPr>
        <w:t xml:space="preserve">4 billion in structural cost reductions by year-end 2026</w:t>
      </w:r>
      <w:r>
        <w:t xml:space="preserve">, measured against 2024 levels.</w:t>
      </w:r>
    </w:p>
    <w:p>
      <w:pPr>
        <w:pStyle w:val="BodyText"/>
      </w:pPr>
      <w:r>
        <w:t xml:space="preserve">A credible progress update could matter as much as the commodity-driven earnings improvement. Investors should look for:</w:t>
      </w:r>
    </w:p>
    <w:p>
      <w:pPr>
        <w:pStyle w:val="Compact"/>
        <w:numPr>
          <w:ilvl w:val="0"/>
          <w:numId w:val="1012"/>
        </w:numPr>
      </w:pPr>
      <w:r>
        <w:t xml:space="preserve">Costs already removed rather than merely identified.</w:t>
      </w:r>
    </w:p>
    <w:p>
      <w:pPr>
        <w:pStyle w:val="Compact"/>
        <w:numPr>
          <w:ilvl w:val="0"/>
          <w:numId w:val="1012"/>
        </w:numPr>
      </w:pPr>
      <w:r>
        <w:t xml:space="preserve">Whether savings are visible in per-barrel operating expenses.</w:t>
      </w:r>
    </w:p>
    <w:p>
      <w:pPr>
        <w:pStyle w:val="Compact"/>
        <w:numPr>
          <w:ilvl w:val="0"/>
          <w:numId w:val="1012"/>
        </w:numPr>
      </w:pPr>
      <w:r>
        <w:t xml:space="preserve">The division between Hess synergies and broader enterprise reductions.</w:t>
      </w:r>
    </w:p>
    <w:p>
      <w:pPr>
        <w:pStyle w:val="Compact"/>
        <w:numPr>
          <w:ilvl w:val="0"/>
          <w:numId w:val="1012"/>
        </w:numPr>
      </w:pPr>
      <w:r>
        <w:t xml:space="preserve">Any restructuring or severance charges needed to reach the target.</w:t>
      </w:r>
    </w:p>
    <w:p>
      <w:pPr>
        <w:pStyle w:val="Compact"/>
        <w:numPr>
          <w:ilvl w:val="0"/>
          <w:numId w:val="1012"/>
        </w:numPr>
      </w:pPr>
      <w:r>
        <w:t xml:space="preserve">Confirmation that lower costs will persist if oil prices normalize.</w:t>
      </w:r>
    </w:p>
    <w:p>
      <w:pPr>
        <w:pStyle w:val="FirstParagraph"/>
      </w:pPr>
      <w:r>
        <w:t xml:space="preserve">If Chevron can demonstrate structurally lower costs while production grows, the market may assign more value to its 2030 free-cash-flow and return-on-capital targets.</w:t>
      </w:r>
    </w:p>
    <w:p>
      <w:r>
        <w:pict>
          <v:rect style="width:0;height:1.5pt" o:hralign="center" o:hrstd="t" o:hr="t"/>
        </w:pict>
      </w:r>
    </w:p>
    <w:bookmarkEnd w:id="19"/>
    <w:bookmarkStart w:id="23" w:name="Xc94ed445aabb981822fb16e897ae1eecd41763a"/>
    <w:p>
      <w:pPr>
        <w:pStyle w:val="Heading2"/>
      </w:pPr>
      <w:r>
        <w:t xml:space="preserve">Strategic updates likely to draw questions</w:t>
      </w:r>
    </w:p>
    <w:bookmarkStart w:id="20" w:name="ai-and-data-center-power"/>
    <w:p>
      <w:pPr>
        <w:pStyle w:val="Heading3"/>
      </w:pPr>
      <w:r>
        <w:t xml:space="preserve">AI and data-center power</w:t>
      </w:r>
    </w:p>
    <w:p>
      <w:pPr>
        <w:pStyle w:val="FirstParagraph"/>
      </w:pPr>
      <w:r>
        <w:t xml:space="preserve">Chevron is negotiating with Microsoft around a proposed West Texas power project. As of the Q1 call:</w:t>
      </w:r>
    </w:p>
    <w:p>
      <w:pPr>
        <w:pStyle w:val="Compact"/>
        <w:numPr>
          <w:ilvl w:val="0"/>
          <w:numId w:val="1013"/>
        </w:numPr>
      </w:pPr>
      <w:r>
        <w:t xml:space="preserve">The company had submitted an air permit.</w:t>
      </w:r>
    </w:p>
    <w:p>
      <w:pPr>
        <w:pStyle w:val="Compact"/>
        <w:numPr>
          <w:ilvl w:val="0"/>
          <w:numId w:val="1013"/>
        </w:numPr>
      </w:pPr>
      <w:r>
        <w:t xml:space="preserve">Large and small-block turbines had been secured.</w:t>
      </w:r>
    </w:p>
    <w:p>
      <w:pPr>
        <w:pStyle w:val="Compact"/>
        <w:numPr>
          <w:ilvl w:val="0"/>
          <w:numId w:val="1013"/>
        </w:numPr>
      </w:pPr>
      <w:r>
        <w:t xml:space="preserve">Engineering work was underway.</w:t>
      </w:r>
    </w:p>
    <w:p>
      <w:pPr>
        <w:pStyle w:val="Compact"/>
        <w:numPr>
          <w:ilvl w:val="0"/>
          <w:numId w:val="1013"/>
        </w:numPr>
      </w:pPr>
      <w:r>
        <w:t xml:space="preserve">Chevron was targeting a possible final investment decision later in 2026.</w:t>
      </w:r>
    </w:p>
    <w:p>
      <w:pPr>
        <w:pStyle w:val="FirstParagraph"/>
      </w:pPr>
      <w:r>
        <w:t xml:space="preserve">The presence of Chevron’s New Energies president on the 2Q call makes a power-project update especially likely. Investors will want details on contracted returns, capital intensity, Chevron’s equity exposure and whether the project can create material value without diluting upstream returns.</w:t>
      </w:r>
    </w:p>
    <w:bookmarkEnd w:id="20"/>
    <w:bookmarkStart w:id="21" w:name="venezuela"/>
    <w:p>
      <w:pPr>
        <w:pStyle w:val="Heading3"/>
      </w:pPr>
      <w:r>
        <w:t xml:space="preserve">Venezuela</w:t>
      </w:r>
    </w:p>
    <w:p>
      <w:pPr>
        <w:pStyle w:val="FirstParagraph"/>
      </w:pPr>
      <w:r>
        <w:t xml:space="preserve">Chevron entered 2026 with roughly</w:t>
      </w:r>
      <w:r>
        <w:t xml:space="preserve"> </w:t>
      </w:r>
      <w:r>
        <w:rPr>
          <w:b/>
          <w:bCs/>
        </w:rPr>
        <w:t xml:space="preserve">$1.5 billion of Venezuelan receivables</w:t>
      </w:r>
      <w:r>
        <w:t xml:space="preserve"> </w:t>
      </w:r>
      <w:r>
        <w:t xml:space="preserve">and expected the balance to decline substantially during the year, potentially reaching full recovery in 2027.</w:t>
      </w:r>
    </w:p>
    <w:p>
      <w:pPr>
        <w:pStyle w:val="BodyText"/>
      </w:pPr>
      <w:r>
        <w:t xml:space="preserve">Questions will center on:</w:t>
      </w:r>
    </w:p>
    <w:p>
      <w:pPr>
        <w:pStyle w:val="Compact"/>
        <w:numPr>
          <w:ilvl w:val="0"/>
          <w:numId w:val="1014"/>
        </w:numPr>
      </w:pPr>
      <w:r>
        <w:t xml:space="preserve">The current receivable balance.</w:t>
      </w:r>
    </w:p>
    <w:p>
      <w:pPr>
        <w:pStyle w:val="Compact"/>
        <w:numPr>
          <w:ilvl w:val="0"/>
          <w:numId w:val="1014"/>
        </w:numPr>
      </w:pPr>
      <w:r>
        <w:t xml:space="preserve">Cash Chevron can ultimately repatriate.</w:t>
      </w:r>
    </w:p>
    <w:p>
      <w:pPr>
        <w:pStyle w:val="Compact"/>
        <w:numPr>
          <w:ilvl w:val="0"/>
          <w:numId w:val="1014"/>
        </w:numPr>
      </w:pPr>
      <w:r>
        <w:t xml:space="preserve">Fiscal and royalty terms.</w:t>
      </w:r>
    </w:p>
    <w:p>
      <w:pPr>
        <w:pStyle w:val="Compact"/>
        <w:numPr>
          <w:ilvl w:val="0"/>
          <w:numId w:val="1014"/>
        </w:numPr>
      </w:pPr>
      <w:r>
        <w:t xml:space="preserve">Whether higher prices justify new capital.</w:t>
      </w:r>
    </w:p>
    <w:p>
      <w:pPr>
        <w:pStyle w:val="Compact"/>
        <w:numPr>
          <w:ilvl w:val="0"/>
          <w:numId w:val="1014"/>
        </w:numPr>
      </w:pPr>
      <w:r>
        <w:t xml:space="preserve">Development potential at Petroindependencia, Petropiar and Ayacucho 8.</w:t>
      </w:r>
    </w:p>
    <w:bookmarkEnd w:id="21"/>
    <w:bookmarkStart w:id="22" w:name="X2716803ef574a1e7140e0272d30dc87bdd5a90e"/>
    <w:p>
      <w:pPr>
        <w:pStyle w:val="Heading3"/>
      </w:pPr>
      <w:r>
        <w:t xml:space="preserve">Iraq and other international growth options</w:t>
      </w:r>
    </w:p>
    <w:p>
      <w:pPr>
        <w:pStyle w:val="FirstParagraph"/>
      </w:pPr>
      <w:r>
        <w:t xml:space="preserve">Recent reports indicate Chevron is exploring preliminary development agreements in southern Iraq, including potential involvement at West Qurna 2 and in alternative export infrastructure. The opportunity is large, but management has characterized it as early-stage.</w:t>
      </w:r>
    </w:p>
    <w:p>
      <w:pPr>
        <w:pStyle w:val="BodyText"/>
      </w:pPr>
      <w:r>
        <w:t xml:space="preserve">Investors should favor options that preserve capital discipline and limit exposure to geopolitical and contractual risk.</w:t>
      </w:r>
    </w:p>
    <w:p>
      <w:r>
        <w:pict>
          <v:rect style="width:0;height:1.5pt" o:hralign="center" o:hrstd="t" o:hr="t"/>
        </w:pict>
      </w:r>
    </w:p>
    <w:bookmarkEnd w:id="22"/>
    <w:bookmarkEnd w:id="23"/>
    <w:bookmarkStart w:id="24" w:name="key-risks-going-into-the-report"/>
    <w:p>
      <w:pPr>
        <w:pStyle w:val="Heading2"/>
      </w:pPr>
      <w:r>
        <w:t xml:space="preserve">Key risks going into the report</w:t>
      </w:r>
    </w:p>
    <w:p>
      <w:pPr>
        <w:pStyle w:val="Compact"/>
        <w:numPr>
          <w:ilvl w:val="0"/>
          <w:numId w:val="1015"/>
        </w:numPr>
      </w:pPr>
      <w:r>
        <w:rPr>
          <w:b/>
          <w:bCs/>
        </w:rPr>
        <w:t xml:space="preserve">Expectations risk:</w:t>
      </w:r>
      <w:r>
        <w:t xml:space="preserve"> </w:t>
      </w:r>
      <w:r>
        <w:t xml:space="preserve">CVX has already appreciated substantially in 2026.</w:t>
      </w:r>
    </w:p>
    <w:p>
      <w:pPr>
        <w:pStyle w:val="Compact"/>
        <w:numPr>
          <w:ilvl w:val="0"/>
          <w:numId w:val="1015"/>
        </w:numPr>
      </w:pPr>
      <w:r>
        <w:rPr>
          <w:b/>
          <w:bCs/>
        </w:rPr>
        <w:t xml:space="preserve">Accounting volatility:</w:t>
      </w:r>
      <w:r>
        <w:t xml:space="preserve"> </w:t>
      </w:r>
      <w:r>
        <w:t xml:space="preserve">Derivative and inventory timing could again obscure operating results.</w:t>
      </w:r>
    </w:p>
    <w:p>
      <w:pPr>
        <w:pStyle w:val="Compact"/>
        <w:numPr>
          <w:ilvl w:val="0"/>
          <w:numId w:val="1015"/>
        </w:numPr>
      </w:pPr>
      <w:r>
        <w:rPr>
          <w:b/>
          <w:bCs/>
        </w:rPr>
        <w:t xml:space="preserve">Working capital:</w:t>
      </w:r>
      <w:r>
        <w:t xml:space="preserve"> </w:t>
      </w:r>
      <w:r>
        <w:t xml:space="preserve">Higher commodity prices may continue tying up cash.</w:t>
      </w:r>
    </w:p>
    <w:p>
      <w:pPr>
        <w:pStyle w:val="Compact"/>
        <w:numPr>
          <w:ilvl w:val="0"/>
          <w:numId w:val="1015"/>
        </w:numPr>
      </w:pPr>
      <w:r>
        <w:rPr>
          <w:b/>
          <w:bCs/>
        </w:rPr>
        <w:t xml:space="preserve">Geopolitical exposure:</w:t>
      </w:r>
      <w:r>
        <w:t xml:space="preserve"> </w:t>
      </w:r>
      <w:r>
        <w:t xml:space="preserve">Direct Middle East production exposure is modest, but shipping, refining feedstocks and Eastern Mediterranean operations remain vulnerable.</w:t>
      </w:r>
    </w:p>
    <w:p>
      <w:pPr>
        <w:pStyle w:val="Compact"/>
        <w:numPr>
          <w:ilvl w:val="0"/>
          <w:numId w:val="1015"/>
        </w:numPr>
      </w:pPr>
      <w:r>
        <w:rPr>
          <w:b/>
          <w:bCs/>
        </w:rPr>
        <w:t xml:space="preserve">TCO logistics:</w:t>
      </w:r>
      <w:r>
        <w:t xml:space="preserve"> </w:t>
      </w:r>
      <w:r>
        <w:t xml:space="preserve">Production is strong, but export infrastructure and regional conditions remain important.</w:t>
      </w:r>
    </w:p>
    <w:p>
      <w:pPr>
        <w:pStyle w:val="Compact"/>
        <w:numPr>
          <w:ilvl w:val="0"/>
          <w:numId w:val="1015"/>
        </w:numPr>
      </w:pPr>
      <w:r>
        <w:rPr>
          <w:b/>
          <w:bCs/>
        </w:rPr>
        <w:t xml:space="preserve">Hess dilution:</w:t>
      </w:r>
      <w:r>
        <w:t xml:space="preserve"> </w:t>
      </w:r>
      <w:r>
        <w:t xml:space="preserve">Higher production must translate into stronger earnings and free cash flow per share.</w:t>
      </w:r>
    </w:p>
    <w:p>
      <w:pPr>
        <w:pStyle w:val="Compact"/>
        <w:numPr>
          <w:ilvl w:val="0"/>
          <w:numId w:val="1015"/>
        </w:numPr>
      </w:pPr>
      <w:r>
        <w:rPr>
          <w:b/>
          <w:bCs/>
        </w:rPr>
        <w:t xml:space="preserve">Capital creep:</w:t>
      </w:r>
      <w:r>
        <w:t xml:space="preserve"> </w:t>
      </w:r>
      <w:r>
        <w:t xml:space="preserve">Higher prices could tempt management to increase spending in the Permian, Venezuela, Iraq or new power projects.</w:t>
      </w:r>
    </w:p>
    <w:p>
      <w:pPr>
        <w:pStyle w:val="Compact"/>
        <w:numPr>
          <w:ilvl w:val="0"/>
          <w:numId w:val="1015"/>
        </w:numPr>
      </w:pPr>
      <w:r>
        <w:rPr>
          <w:b/>
          <w:bCs/>
        </w:rPr>
        <w:t xml:space="preserve">Policy risk:</w:t>
      </w:r>
      <w:r>
        <w:t xml:space="preserve"> </w:t>
      </w:r>
      <w:r>
        <w:t xml:space="preserve">Windfall taxes, price controls, sanctions and export restrictions could limit Chevron’s ability to capture unusually strong margins.</w:t>
      </w:r>
    </w:p>
    <w:p>
      <w:r>
        <w:pict>
          <v:rect style="width:0;height:1.5pt" o:hralign="center" o:hrstd="t" o:hr="t"/>
        </w:pict>
      </w:r>
    </w:p>
    <w:bookmarkEnd w:id="24"/>
    <w:bookmarkStart w:id="25" w:name="investor-scorecard"/>
    <w:p>
      <w:pPr>
        <w:pStyle w:val="Heading2"/>
      </w:pPr>
      <w:r>
        <w:t xml:space="preserve">Investor scorecard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Area</w:t>
            </w:r>
          </w:p>
        </w:tc>
        <w:tc>
          <w:tcPr/>
          <w:p>
            <w:pPr>
              <w:pStyle w:val="Compact"/>
            </w:pPr>
            <w:r>
              <w:t xml:space="preserve">Positive outcome</w:t>
            </w:r>
          </w:p>
        </w:tc>
        <w:tc>
          <w:tcPr/>
          <w:p>
            <w:pPr>
              <w:pStyle w:val="Compact"/>
            </w:pPr>
            <w:r>
              <w:t xml:space="preserve">Negative outcome</w:t>
            </w:r>
          </w:p>
        </w:tc>
      </w:tr>
      <w:tr>
        <w:tc>
          <w:tcPr/>
          <w:p>
            <w:pPr>
              <w:pStyle w:val="Compact"/>
            </w:pPr>
            <w:r>
              <w:t xml:space="preserve">Production</w:t>
            </w:r>
          </w:p>
        </w:tc>
        <w:tc>
          <w:tcPr/>
          <w:p>
            <w:pPr>
              <w:pStyle w:val="Compact"/>
            </w:pPr>
            <w:r>
              <w:t xml:space="preserve">Above 1Q with guidance maintained or raised</w:t>
            </w:r>
          </w:p>
        </w:tc>
        <w:tc>
          <w:tcPr/>
          <w:p>
            <w:pPr>
              <w:pStyle w:val="Compact"/>
            </w:pPr>
            <w:r>
              <w:t xml:space="preserve">Operational downtime or weaker Guyana/TCO volumes</w:t>
            </w:r>
          </w:p>
        </w:tc>
      </w:tr>
      <w:tr>
        <w:tc>
          <w:tcPr/>
          <w:p>
            <w:pPr>
              <w:pStyle w:val="Compact"/>
            </w:pPr>
            <w:r>
              <w:t xml:space="preserve">Upstream earnings</w:t>
            </w:r>
          </w:p>
        </w:tc>
        <w:tc>
          <w:tcPr/>
          <w:p>
            <w:pPr>
              <w:pStyle w:val="Compact"/>
            </w:pPr>
            <w:r>
              <w:t xml:space="preserve">Strong realization and volume leverage</w:t>
            </w:r>
          </w:p>
        </w:tc>
        <w:tc>
          <w:tcPr/>
          <w:p>
            <w:pPr>
              <w:pStyle w:val="Compact"/>
            </w:pPr>
            <w:r>
              <w:t xml:space="preserve">Costs and DD&amp;A absorb price benefit</w:t>
            </w:r>
          </w:p>
        </w:tc>
      </w:tr>
      <w:tr>
        <w:tc>
          <w:tcPr/>
          <w:p>
            <w:pPr>
              <w:pStyle w:val="Compact"/>
            </w:pPr>
            <w:r>
              <w:t xml:space="preserve">Downstream</w:t>
            </w:r>
          </w:p>
        </w:tc>
        <w:tc>
          <w:tcPr/>
          <w:p>
            <w:pPr>
              <w:pStyle w:val="Compact"/>
            </w:pPr>
            <w:r>
              <w:t xml:space="preserve">Large underlying recovery with high utilization</w:t>
            </w:r>
          </w:p>
        </w:tc>
        <w:tc>
          <w:tcPr/>
          <w:p>
            <w:pPr>
              <w:pStyle w:val="Compact"/>
            </w:pPr>
            <w:r>
              <w:t xml:space="preserve">Recovery mainly accounting-driven</w:t>
            </w:r>
          </w:p>
        </w:tc>
      </w:tr>
      <w:tr>
        <w:tc>
          <w:tcPr/>
          <w:p>
            <w:pPr>
              <w:pStyle w:val="Compact"/>
            </w:pPr>
            <w:r>
              <w:t xml:space="preserve">Cash flow</w:t>
            </w:r>
          </w:p>
        </w:tc>
        <w:tc>
          <w:tcPr/>
          <w:p>
            <w:pPr>
              <w:pStyle w:val="Compact"/>
            </w:pPr>
            <w:r>
              <w:t xml:space="preserve">Working-capital normalization and debt reduction</w:t>
            </w:r>
          </w:p>
        </w:tc>
        <w:tc>
          <w:tcPr/>
          <w:p>
            <w:pPr>
              <w:pStyle w:val="Compact"/>
            </w:pPr>
            <w:r>
              <w:t xml:space="preserve">Another large cash build despite stronger earnings</w:t>
            </w:r>
          </w:p>
        </w:tc>
      </w:tr>
      <w:tr>
        <w:tc>
          <w:tcPr/>
          <w:p>
            <w:pPr>
              <w:pStyle w:val="Compact"/>
            </w:pPr>
            <w:r>
              <w:t xml:space="preserve">Buybacks</w:t>
            </w:r>
          </w:p>
        </w:tc>
        <w:tc>
          <w:tcPr/>
          <w:p>
            <w:pPr>
              <w:pStyle w:val="Compact"/>
            </w:pPr>
            <m:oMath>
              <m:r>
                <m:t>2.5</m:t>
              </m:r>
              <m:r>
                <m:rPr>
                  <m:sty m:val="p"/>
                </m:rPr>
                <m:t>–</m:t>
              </m:r>
            </m:oMath>
            <w:r>
              <w:t xml:space="preserve">3.0B with balance-sheet improvement</w:t>
            </w:r>
          </w:p>
        </w:tc>
        <w:tc>
          <w:tcPr/>
          <w:p>
            <w:pPr>
              <w:pStyle w:val="Compact"/>
            </w:pPr>
            <w:r>
              <w:t xml:space="preserve">Higher repurchases funded by incremental borrowing</w:t>
            </w:r>
          </w:p>
        </w:tc>
      </w:tr>
      <w:tr>
        <w:tc>
          <w:tcPr/>
          <w:p>
            <w:pPr>
              <w:pStyle w:val="Compact"/>
            </w:pPr>
            <w:r>
              <w:t xml:space="preserve">Capex</w:t>
            </w:r>
          </w:p>
        </w:tc>
        <w:tc>
          <w:tcPr/>
          <w:p>
            <w:pPr>
              <w:pStyle w:val="Compact"/>
            </w:pPr>
            <m:oMath>
              <m:r>
                <m:t>18</m:t>
              </m:r>
              <m:r>
                <m:rPr>
                  <m:sty m:val="p"/>
                </m:rPr>
                <m:t>–</m:t>
              </m:r>
            </m:oMath>
            <w:r>
              <w:t xml:space="preserve">19B guidance maintained</w:t>
            </w:r>
          </w:p>
        </w:tc>
        <w:tc>
          <w:tcPr/>
          <w:p>
            <w:pPr>
              <w:pStyle w:val="Compact"/>
            </w:pPr>
            <w:r>
              <w:t xml:space="preserve">Spending increases based on temporary prices</w:t>
            </w:r>
          </w:p>
        </w:tc>
      </w:tr>
      <w:tr>
        <w:tc>
          <w:tcPr/>
          <w:p>
            <w:pPr>
              <w:pStyle w:val="Compact"/>
            </w:pPr>
            <w:r>
              <w:t xml:space="preserve">Costs</w:t>
            </w:r>
          </w:p>
        </w:tc>
        <w:tc>
          <w:tcPr/>
          <w:p>
            <w:pPr>
              <w:pStyle w:val="Compact"/>
            </w:pPr>
            <w:r>
              <w:t xml:space="preserve">Measurable progress toward</w:t>
            </w:r>
            <w:r>
              <w:t xml:space="preserve"> </w:t>
            </w:r>
            <m:oMath>
              <m:r>
                <m:t>3</m:t>
              </m:r>
              <m:r>
                <m:rPr>
                  <m:sty m:val="p"/>
                </m:rPr>
                <m:t>–</m:t>
              </m:r>
            </m:oMath>
            <w:r>
              <w:t xml:space="preserve">4B target</w:t>
            </w:r>
          </w:p>
        </w:tc>
        <w:tc>
          <w:tcPr/>
          <w:p>
            <w:pPr>
              <w:pStyle w:val="Compact"/>
            </w:pPr>
            <w:r>
              <w:t xml:space="preserve">Savings delayed or offset by inflation/integration costs</w:t>
            </w:r>
          </w:p>
        </w:tc>
      </w:tr>
      <w:tr>
        <w:tc>
          <w:tcPr/>
          <w:p>
            <w:pPr>
              <w:pStyle w:val="Compact"/>
            </w:pPr>
            <w:r>
              <w:t xml:space="preserve">Hess</w:t>
            </w:r>
          </w:p>
        </w:tc>
        <w:tc>
          <w:tcPr/>
          <w:p>
            <w:pPr>
              <w:pStyle w:val="Compact"/>
            </w:pPr>
            <w:r>
              <w:t xml:space="preserve">Strong Guyana contribution and synergy progress</w:t>
            </w:r>
          </w:p>
        </w:tc>
        <w:tc>
          <w:tcPr/>
          <w:p>
            <w:pPr>
              <w:pStyle w:val="Compact"/>
            </w:pPr>
            <w:r>
              <w:t xml:space="preserve">Dilution outweighs near-term earnings contribution</w:t>
            </w:r>
          </w:p>
        </w:tc>
      </w:tr>
      <w:tr>
        <w:tc>
          <w:tcPr/>
          <w:p>
            <w:pPr>
              <w:pStyle w:val="Compact"/>
            </w:pPr>
            <w:r>
              <w:t xml:space="preserve">Power strategy</w:t>
            </w:r>
          </w:p>
        </w:tc>
        <w:tc>
          <w:tcPr/>
          <w:p>
            <w:pPr>
              <w:pStyle w:val="Compact"/>
            </w:pPr>
            <w:r>
              <w:t xml:space="preserve">Contracted returns and capital-light structure</w:t>
            </w:r>
          </w:p>
        </w:tc>
        <w:tc>
          <w:tcPr/>
          <w:p>
            <w:pPr>
              <w:pStyle w:val="Compact"/>
            </w:pPr>
            <w:r>
              <w:t xml:space="preserve">Large speculative capital commitment</w:t>
            </w:r>
          </w:p>
        </w:tc>
      </w:tr>
      <w:tr>
        <w:tc>
          <w:tcPr/>
          <w:p>
            <w:pPr>
              <w:pStyle w:val="Compact"/>
            </w:pPr>
            <w:r>
              <w:t xml:space="preserve">Outlook</w:t>
            </w:r>
          </w:p>
        </w:tc>
        <w:tc>
          <w:tcPr/>
          <w:p>
            <w:pPr>
              <w:pStyle w:val="Compact"/>
            </w:pPr>
            <w:r>
              <w:t xml:space="preserve">Operational guidance reaffirmed with better cash visibility</w:t>
            </w:r>
          </w:p>
        </w:tc>
        <w:tc>
          <w:tcPr/>
          <w:p>
            <w:pPr>
              <w:pStyle w:val="Compact"/>
            </w:pPr>
            <w:r>
              <w:t xml:space="preserve">Cautious guidance despite favorable macro conditions</w:t>
            </w:r>
          </w:p>
        </w:tc>
      </w:tr>
    </w:tbl>
    <w:p>
      <w:r>
        <w:pict>
          <v:rect style="width:0;height:1.5pt" o:hralign="center" o:hrstd="t" o:hr="t"/>
        </w:pict>
      </w:r>
    </w:p>
    <w:bookmarkEnd w:id="25"/>
    <w:bookmarkStart w:id="26" w:name="bottom-line"/>
    <w:p>
      <w:pPr>
        <w:pStyle w:val="Heading2"/>
      </w:pPr>
      <w:r>
        <w:t xml:space="preserve">Bottom line</w:t>
      </w:r>
    </w:p>
    <w:p>
      <w:pPr>
        <w:pStyle w:val="FirstParagraph"/>
      </w:pPr>
      <w:r>
        <w:t xml:space="preserve">Chevron should report a materially stronger quarter than its headline 1Q results suggest. The combination of higher production, stronger commodity prices, TCO’s recovery, improved refining integration, better chemicals margins and the expected unwind of some Q1 timing losses creates a favorable earnings setup.</w:t>
      </w:r>
    </w:p>
    <w:p>
      <w:pPr>
        <w:pStyle w:val="BodyText"/>
      </w:pPr>
      <w:r>
        <w:t xml:space="preserve">But</w:t>
      </w:r>
      <w:r>
        <w:t xml:space="preserve"> </w:t>
      </w:r>
      <w:r>
        <w:rPr>
          <w:b/>
          <w:bCs/>
        </w:rPr>
        <w:t xml:space="preserve">cash conversion is the real test</w:t>
      </w:r>
      <w:r>
        <w:t xml:space="preserve">. A high-quality report would pair stronger earnings with working-capital normalization, lower short-term borrowing, continued capital discipline and tangible progress on Hess synergies and structural cost reductions.</w:t>
      </w:r>
    </w:p>
    <w:p>
      <w:pPr>
        <w:pStyle w:val="BodyText"/>
      </w:pPr>
      <w:r>
        <w:t xml:space="preserve">The most bullish outcome is not simply a large EPS beat. It is evidence that Chevron can convert its enlarged asset base and integrated supply system into</w:t>
      </w:r>
      <w:r>
        <w:t xml:space="preserve"> </w:t>
      </w:r>
      <w:r>
        <w:rPr>
          <w:b/>
          <w:bCs/>
        </w:rPr>
        <w:t xml:space="preserve">higher sustainable free cash flow per share</w:t>
      </w:r>
      <w:r>
        <w:t xml:space="preserve">, while resisting the urge to chase elevated commodity prices with higher spending.</w:t>
      </w:r>
    </w:p>
    <w:p>
      <w:pPr>
        <w:pStyle w:val="BodyText"/>
      </w:pPr>
      <w:r>
        <w:rPr>
          <w:i/>
          <w:iCs/>
        </w:rPr>
        <w:t xml:space="preserve">Research basis: Chevron’s 1Q26 earnings release, 1Q26 earnings-call transcript, 1Q26 filing, July 2 earnings-call advisory, recent CVX and energy-market news, and stock-price data through July 30, 2026.</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2026-07-31T00:34:17Z</dcterms:created>
  <dcterms:modified xsi:type="dcterms:W3CDTF">2026-07-31T00:34:17Z</dcterms:modified>
</cp:coreProperties>
</file>

<file path=docProps/custom.xml><?xml version="1.0" encoding="utf-8"?>
<Properties xmlns="http://schemas.openxmlformats.org/officeDocument/2006/custom-properties" xmlns:vt="http://schemas.openxmlformats.org/officeDocument/2006/docPropsVTypes"/>
</file>