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cvx-earnings-predictions--2026-07-31"/>
    <w:p>
      <w:pPr>
        <w:pStyle w:val="Heading1"/>
      </w:pPr>
      <w:r>
        <w:t xml:space="preserve">CVX Earnings Predictions — 2026-07-31</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CVX</w:t>
            </w:r>
          </w:p>
        </w:tc>
        <w:tc>
          <w:tcPr/>
          <w:p>
            <w:pPr>
              <w:pStyle w:val="Compact"/>
            </w:pPr>
            <w:r>
              <w:t xml:space="preserve">Report</w:t>
            </w:r>
          </w:p>
        </w:tc>
        <w:tc>
          <w:tcPr/>
          <w:p>
            <w:pPr>
              <w:pStyle w:val="Compact"/>
            </w:pPr>
            <w:r>
              <w:t xml:space="preserve">Adjusted EPS</w:t>
            </w:r>
          </w:p>
        </w:tc>
        <w:tc>
          <w:tcPr/>
          <w:p>
            <w:pPr>
              <w:pStyle w:val="Compact"/>
            </w:pPr>
            <w:r>
              <w:t xml:space="preserve">BEAT</w:t>
            </w:r>
          </w:p>
        </w:tc>
        <w:tc>
          <w:tcPr/>
          <w:p>
            <w:pPr>
              <w:pStyle w:val="Compact"/>
            </w:pPr>
            <w:r>
              <w:t xml:space="preserve">pred ~$3.48 vs. cons $3.12</w:t>
            </w:r>
          </w:p>
        </w:tc>
        <w:tc>
          <w:tcPr/>
          <w:p>
            <w:pPr>
              <w:pStyle w:val="Compact"/>
            </w:pPr>
            <w:r>
              <w:t xml:space="preserve">MEDIUM</w:t>
            </w:r>
          </w:p>
        </w:tc>
      </w:tr>
      <w:tr>
        <w:tc>
          <w:tcPr/>
          <w:p>
            <w:pPr>
              <w:pStyle w:val="Compact"/>
            </w:pPr>
            <w:r>
              <w:t xml:space="preserve">CVX</w:t>
            </w:r>
          </w:p>
        </w:tc>
        <w:tc>
          <w:tcPr/>
          <w:p>
            <w:pPr>
              <w:pStyle w:val="Compact"/>
            </w:pPr>
            <w:r>
              <w:t xml:space="preserve">Report</w:t>
            </w:r>
          </w:p>
        </w:tc>
        <w:tc>
          <w:tcPr/>
          <w:p>
            <w:pPr>
              <w:pStyle w:val="Compact"/>
            </w:pPr>
            <w:r>
              <w:t xml:space="preserve">Total oil-equivalent production</w:t>
            </w:r>
          </w:p>
        </w:tc>
        <w:tc>
          <w:tcPr/>
          <w:p>
            <w:pPr>
              <w:pStyle w:val="Compact"/>
            </w:pPr>
            <w:r>
              <w:t xml:space="preserve">BEAT</w:t>
            </w:r>
          </w:p>
        </w:tc>
        <w:tc>
          <w:tcPr/>
          <w:p>
            <w:pPr>
              <w:pStyle w:val="Compact"/>
            </w:pPr>
            <w:r>
              <w:t xml:space="preserve">pred ~3.98 MMboe/d vs. cons 3.93 MMboe/d</w:t>
            </w:r>
          </w:p>
        </w:tc>
        <w:tc>
          <w:tcPr/>
          <w:p>
            <w:pPr>
              <w:pStyle w:val="Compact"/>
            </w:pPr>
            <w:r>
              <w:t xml:space="preserve">MEDIUM</w:t>
            </w:r>
          </w:p>
        </w:tc>
      </w:tr>
      <w:tr>
        <w:tc>
          <w:tcPr/>
          <w:p>
            <w:pPr>
              <w:pStyle w:val="Compact"/>
            </w:pPr>
            <w:r>
              <w:t xml:space="preserve">CVX</w:t>
            </w:r>
          </w:p>
        </w:tc>
        <w:tc>
          <w:tcPr/>
          <w:p>
            <w:pPr>
              <w:pStyle w:val="Compact"/>
            </w:pPr>
            <w:r>
              <w:t xml:space="preserve">Report</w:t>
            </w:r>
          </w:p>
        </w:tc>
        <w:tc>
          <w:tcPr/>
          <w:p>
            <w:pPr>
              <w:pStyle w:val="Compact"/>
            </w:pPr>
            <w:r>
              <w:t xml:space="preserve">Cash flow from operations, excluding working capital</w:t>
            </w:r>
          </w:p>
        </w:tc>
        <w:tc>
          <w:tcPr/>
          <w:p>
            <w:pPr>
              <w:pStyle w:val="Compact"/>
            </w:pPr>
            <w:r>
              <w:t xml:space="preserve">BEAT</w:t>
            </w:r>
          </w:p>
        </w:tc>
        <w:tc>
          <w:tcPr/>
          <w:p>
            <w:pPr>
              <w:pStyle w:val="Compact"/>
            </w:pPr>
            <w:r>
              <w:t xml:space="preserve">pred ~$11.7B vs. cons $10.9B</w:t>
            </w:r>
          </w:p>
        </w:tc>
        <w:tc>
          <w:tcPr/>
          <w:p>
            <w:pPr>
              <w:pStyle w:val="Compact"/>
            </w:pPr>
            <w:r>
              <w:t xml:space="preserve">MEDIUM</w:t>
            </w:r>
          </w:p>
        </w:tc>
      </w:tr>
      <w:tr>
        <w:tc>
          <w:tcPr/>
          <w:p>
            <w:pPr>
              <w:pStyle w:val="Compact"/>
            </w:pPr>
            <w:r>
              <w:t xml:space="preserve">CVX</w:t>
            </w:r>
          </w:p>
        </w:tc>
        <w:tc>
          <w:tcPr/>
          <w:p>
            <w:pPr>
              <w:pStyle w:val="Compact"/>
            </w:pPr>
            <w:r>
              <w:t xml:space="preserve">Guide</w:t>
            </w:r>
          </w:p>
        </w:tc>
        <w:tc>
          <w:tcPr/>
          <w:p>
            <w:pPr>
              <w:pStyle w:val="Compact"/>
            </w:pPr>
            <w:r>
              <w:t xml:space="preserve">FY2026 production-growth outlook</w:t>
            </w:r>
          </w:p>
        </w:tc>
        <w:tc>
          <w:tcPr/>
          <w:p>
            <w:pPr>
              <w:pStyle w:val="Compact"/>
            </w:pPr>
            <w:r>
              <w:t xml:space="preserve">UNCHANGED</w:t>
            </w:r>
          </w:p>
        </w:tc>
        <w:tc>
          <w:tcPr/>
          <w:p>
            <w:pPr>
              <w:pStyle w:val="Compact"/>
            </w:pPr>
            <w:r>
              <w:t xml:space="preserve">guide ~8.5% vs. cons 8.5% (FY2026)</w:t>
            </w:r>
          </w:p>
        </w:tc>
        <w:tc>
          <w:tcPr/>
          <w:p>
            <w:pPr>
              <w:pStyle w:val="Compact"/>
            </w:pPr>
            <w:r>
              <w:t xml:space="preserve">HIGH</w:t>
            </w:r>
          </w:p>
        </w:tc>
      </w:tr>
      <w:tr>
        <w:tc>
          <w:tcPr/>
          <w:p>
            <w:pPr>
              <w:pStyle w:val="Compact"/>
            </w:pPr>
            <w:r>
              <w:t xml:space="preserve">CVX</w:t>
            </w:r>
          </w:p>
        </w:tc>
        <w:tc>
          <w:tcPr/>
          <w:p>
            <w:pPr>
              <w:pStyle w:val="Compact"/>
            </w:pPr>
            <w:r>
              <w:t xml:space="preserve">Guide</w:t>
            </w:r>
          </w:p>
        </w:tc>
        <w:tc>
          <w:tcPr/>
          <w:p>
            <w:pPr>
              <w:pStyle w:val="Compact"/>
            </w:pPr>
            <w:r>
              <w:t xml:space="preserve">FY2026 capital-expenditure outlook</w:t>
            </w:r>
          </w:p>
        </w:tc>
        <w:tc>
          <w:tcPr/>
          <w:p>
            <w:pPr>
              <w:pStyle w:val="Compact"/>
            </w:pPr>
            <w:r>
              <w:t xml:space="preserve">UNCHANGED</w:t>
            </w:r>
          </w:p>
        </w:tc>
        <w:tc>
          <w:tcPr/>
          <w:p>
            <w:pPr>
              <w:pStyle w:val="Compact"/>
            </w:pPr>
            <w:r>
              <w:t xml:space="preserve">guide ~$18.5B vs. cons $18.5B (FY2026)</w:t>
            </w:r>
          </w:p>
        </w:tc>
        <w:tc>
          <w:tcPr/>
          <w:p>
            <w:pPr>
              <w:pStyle w:val="Compact"/>
            </w:pPr>
            <w:r>
              <w:t xml:space="preserve">HIGH</w:t>
            </w:r>
          </w:p>
        </w:tc>
      </w:tr>
      <w:tr>
        <w:tc>
          <w:tcPr/>
          <w:p>
            <w:pPr>
              <w:pStyle w:val="Compact"/>
            </w:pPr>
            <w:r>
              <w:t xml:space="preserve">CVX</w:t>
            </w:r>
          </w:p>
        </w:tc>
        <w:tc>
          <w:tcPr/>
          <w:p>
            <w:pPr>
              <w:pStyle w:val="Compact"/>
            </w:pPr>
            <w:r>
              <w:t xml:space="preserve">Guide</w:t>
            </w:r>
          </w:p>
        </w:tc>
        <w:tc>
          <w:tcPr/>
          <w:p>
            <w:pPr>
              <w:pStyle w:val="Compact"/>
            </w:pPr>
            <w:r>
              <w:t xml:space="preserve">Quarterly share-repurchase run rate</w:t>
            </w:r>
          </w:p>
        </w:tc>
        <w:tc>
          <w:tcPr/>
          <w:p>
            <w:pPr>
              <w:pStyle w:val="Compact"/>
            </w:pPr>
            <w:r>
              <w:t xml:space="preserve">UNCHANGED</w:t>
            </w:r>
          </w:p>
        </w:tc>
        <w:tc>
          <w:tcPr/>
          <w:p>
            <w:pPr>
              <w:pStyle w:val="Compact"/>
            </w:pPr>
            <w:r>
              <w:t xml:space="preserve">guide ~$2.75B vs. cons $2.75B (3Q2026)</w:t>
            </w:r>
          </w:p>
        </w:tc>
        <w:tc>
          <w:tcPr/>
          <w:p>
            <w:pPr>
              <w:pStyle w:val="Compact"/>
            </w:pPr>
            <w:r>
              <w:t xml:space="preserve">HIGH</w:t>
            </w:r>
          </w:p>
        </w:tc>
      </w:tr>
      <w:tr>
        <w:tc>
          <w:tcPr/>
          <w:p>
            <w:pPr>
              <w:pStyle w:val="Compact"/>
            </w:pPr>
            <w:r>
              <w:t xml:space="preserve">CVX</w:t>
            </w:r>
          </w:p>
        </w:tc>
        <w:tc>
          <w:tcPr/>
          <w:p>
            <w:pPr>
              <w:pStyle w:val="Compact"/>
            </w:pPr>
            <w:r>
              <w:t xml:space="preserve">Guide</w:t>
            </w:r>
          </w:p>
        </w:tc>
        <w:tc>
          <w:tcPr/>
          <w:p>
            <w:pPr>
              <w:pStyle w:val="Compact"/>
            </w:pPr>
            <w:r>
              <w:t xml:space="preserve">Hess integration synergy target</w:t>
            </w:r>
          </w:p>
        </w:tc>
        <w:tc>
          <w:tcPr/>
          <w:p>
            <w:pPr>
              <w:pStyle w:val="Compact"/>
            </w:pPr>
            <w:r>
              <w:t xml:space="preserve">UNCHANGED</w:t>
            </w:r>
          </w:p>
        </w:tc>
        <w:tc>
          <w:tcPr/>
          <w:p>
            <w:pPr>
              <w:pStyle w:val="Compact"/>
            </w:pPr>
            <w:r>
              <w:t xml:space="preserve">guide ~$1.5B vs. cons $1.5B (FY2026)</w:t>
            </w:r>
          </w:p>
        </w:tc>
        <w:tc>
          <w:tcPr/>
          <w:p>
            <w:pPr>
              <w:pStyle w:val="Compact"/>
            </w:pPr>
            <w:r>
              <w:t xml:space="preserve">MEDIUM</w:t>
            </w:r>
          </w:p>
        </w:tc>
      </w:tr>
      <w:tr>
        <w:tc>
          <w:tcPr/>
          <w:p>
            <w:pPr>
              <w:pStyle w:val="Compact"/>
            </w:pPr>
            <w:r>
              <w:t xml:space="preserve">CVX</w:t>
            </w:r>
          </w:p>
        </w:tc>
        <w:tc>
          <w:tcPr/>
          <w:p>
            <w:pPr>
              <w:pStyle w:val="Compact"/>
            </w:pPr>
            <w:r>
              <w:t xml:space="preserve">Guide</w:t>
            </w:r>
          </w:p>
        </w:tc>
        <w:tc>
          <w:tcPr/>
          <w:p>
            <w:pPr>
              <w:pStyle w:val="Compact"/>
            </w:pPr>
            <w:r>
              <w:t xml:space="preserve">TCO free-cash-flow outlook</w:t>
            </w:r>
          </w:p>
        </w:tc>
        <w:tc>
          <w:tcPr/>
          <w:p>
            <w:pPr>
              <w:pStyle w:val="Compact"/>
            </w:pPr>
            <w:r>
              <w:t xml:space="preserve">UNCHANGED</w:t>
            </w:r>
          </w:p>
        </w:tc>
        <w:tc>
          <w:tcPr/>
          <w:p>
            <w:pPr>
              <w:pStyle w:val="Compact"/>
            </w:pPr>
            <w:r>
              <w:t xml:space="preserve">guide ~$6.0B vs. cons $6.0B (FY2026)</w:t>
            </w:r>
          </w:p>
        </w:tc>
        <w:tc>
          <w:tcPr/>
          <w:p>
            <w:pPr>
              <w:pStyle w:val="Compact"/>
            </w:pPr>
            <w:r>
              <w:t xml:space="preserve">MEDIUM</w:t>
            </w:r>
          </w:p>
        </w:tc>
      </w:tr>
      <w:tr>
        <w:tc>
          <w:tcPr/>
          <w:p>
            <w:pPr>
              <w:pStyle w:val="Compact"/>
            </w:pPr>
            <w:r>
              <w:t xml:space="preserve">CVX</w:t>
            </w:r>
          </w:p>
        </w:tc>
        <w:tc>
          <w:tcPr/>
          <w:p>
            <w:pPr>
              <w:pStyle w:val="Compact"/>
            </w:pPr>
            <w:r>
              <w:t xml:space="preserve">Return</w:t>
            </w:r>
          </w:p>
        </w:tc>
        <w:tc>
          <w:tcPr/>
          <w:p>
            <w:pPr>
              <w:pStyle w:val="Compact"/>
            </w:pPr>
            <w:r>
              <w:t xml:space="preserve">Day-1 residual (stock − beta × S&amp;P 500)</w:t>
            </w:r>
          </w:p>
        </w:tc>
        <w:tc>
          <w:tcPr/>
          <w:p>
            <w:pPr>
              <w:pStyle w:val="Compact"/>
            </w:pPr>
            <w:r>
              <w:t xml:space="preserve">+1.6%</w:t>
            </w:r>
          </w:p>
        </w:tc>
        <w:tc>
          <w:tcPr/>
          <w:p>
            <w:pPr>
              <w:pStyle w:val="Compact"/>
            </w:pPr>
            <w:r>
              <w:t xml:space="preserve">—</w:t>
            </w:r>
          </w:p>
        </w:tc>
        <w:tc>
          <w:tcPr/>
          <w:p>
            <w:pPr>
              <w:pStyle w:val="Compact"/>
            </w:pPr>
            <w:r>
              <w:t xml:space="preserve">MEDIUM</w:t>
            </w:r>
          </w:p>
        </w:tc>
      </w:tr>
      <w:tr>
        <w:tc>
          <w:tcPr/>
          <w:p>
            <w:pPr>
              <w:pStyle w:val="Compact"/>
            </w:pPr>
            <w:r>
              <w:t xml:space="preserve">CVX</w:t>
            </w:r>
          </w:p>
        </w:tc>
        <w:tc>
          <w:tcPr/>
          <w:p>
            <w:pPr>
              <w:pStyle w:val="Compact"/>
            </w:pPr>
            <w:r>
              <w:t xml:space="preserve">Return</w:t>
            </w:r>
          </w:p>
        </w:tc>
        <w:tc>
          <w:tcPr/>
          <w:p>
            <w:pPr>
              <w:pStyle w:val="Compact"/>
            </w:pPr>
            <w:r>
              <w:t xml:space="preserve">5-day cumulative residual</w:t>
            </w:r>
          </w:p>
        </w:tc>
        <w:tc>
          <w:tcPr/>
          <w:p>
            <w:pPr>
              <w:pStyle w:val="Compact"/>
            </w:pPr>
            <w:r>
              <w:t xml:space="preserve">+0.5% (FADE)</w:t>
            </w:r>
          </w:p>
        </w:tc>
        <w:tc>
          <w:tcPr/>
          <w:p>
            <w:pPr>
              <w:pStyle w:val="Compact"/>
            </w:pPr>
            <w:r>
              <w:t xml:space="preserve">A reported beat from the 1Q timing unwind, high realizations, and strong operating momentum should initially support shares, but unchanged production, capex, buyback, synergy, and TCO guidance implies limited upward revision to 2026-27 normalized earnings. The stock’s pre-report oil-driven rerating should therefore leave the initial gain vulnerable to partial fade as investors separate transient commodity/timing benefits from out-period cash-flow math.</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2026-07-31T00:34:04Z</dcterms:created>
  <dcterms:modified xsi:type="dcterms:W3CDTF">2026-07-31T00:34:04Z</dcterms:modified>
</cp:coreProperties>
</file>

<file path=docProps/custom.xml><?xml version="1.0" encoding="utf-8"?>
<Properties xmlns="http://schemas.openxmlformats.org/officeDocument/2006/custom-properties" xmlns:vt="http://schemas.openxmlformats.org/officeDocument/2006/docPropsVTypes"/>
</file>