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chevron-cvx-2q26-earnings-preview"/>
    <w:p>
      <w:pPr>
        <w:pStyle w:val="Heading1"/>
      </w:pPr>
      <w:r>
        <w:t xml:space="preserve">Chevron (CVX) 2Q26 Earnings Preview</w:t>
      </w:r>
    </w:p>
    <w:p>
      <w:pPr>
        <w:pStyle w:val="BlockText"/>
      </w:pPr>
      <w:r>
        <w:rPr>
          <w:b/>
          <w:bCs/>
        </w:rPr>
        <w:t xml:space="preserve">Timing note:</w:t>
      </w:r>
      <w:r>
        <w:t xml:space="preserve"> </w:t>
      </w:r>
      <w:r>
        <w:t xml:space="preserve">Today is</w:t>
      </w:r>
      <w:r>
        <w:t xml:space="preserve"> </w:t>
      </w:r>
      <w:r>
        <w:rPr>
          <w:b/>
          <w:bCs/>
        </w:rPr>
        <w:t xml:space="preserve">Friday, July 31, 2026</w:t>
      </w:r>
      <w:r>
        <w:t xml:space="preserve">. Chevron’s 2Q26 earnings release and call are scheduled for</w:t>
      </w:r>
      <w:r>
        <w:t xml:space="preserve"> </w:t>
      </w:r>
      <w:r>
        <w:rPr>
          <w:b/>
          <w:bCs/>
        </w:rPr>
        <w:t xml:space="preserve">today</w:t>
      </w:r>
      <w:r>
        <w:t xml:space="preserve">, not tomorrow. This preview is therefore framed for the report immediately ahead.</w:t>
      </w:r>
    </w:p>
    <w:bookmarkStart w:id="9" w:name="X674a6913e769ea6e51de91d35a54640f089353b"/>
    <w:p>
      <w:pPr>
        <w:pStyle w:val="Heading2"/>
      </w:pPr>
      <w:r>
        <w:t xml:space="preserve">The setup: strong quarter likely, but expectations have risen sharply</w:t>
      </w:r>
    </w:p>
    <w:p>
      <w:pPr>
        <w:pStyle w:val="FirstParagraph"/>
      </w:pPr>
      <w:r>
        <w:t xml:space="preserve">Chevron enters 2Q26 with a favorable operational and commodity backdrop, a newly enlarged upstream portfolio following Hess integration, and a stock that has already rerated on higher oil prices. CVX closed at</w:t>
      </w:r>
      <w:r>
        <w:t xml:space="preserve"> </w:t>
      </w:r>
      <w:r>
        <w:rPr>
          <w:b/>
          <w:bCs/>
        </w:rPr>
        <w:t xml:space="preserve">$192.34 on July 30</w:t>
      </w:r>
      <w:r>
        <w:t xml:space="preserve">, up</w:t>
      </w:r>
      <w:r>
        <w:t xml:space="preserve"> </w:t>
      </w:r>
      <w:r>
        <w:rPr>
          <w:b/>
          <w:bCs/>
        </w:rPr>
        <w:t xml:space="preserve">16.1%</w:t>
      </w:r>
      <w:r>
        <w:t xml:space="preserve"> </w:t>
      </w:r>
      <w:r>
        <w:t xml:space="preserve">from its July 1 close of $165.69.</w:t>
      </w:r>
    </w:p>
    <w:p>
      <w:pPr>
        <w:pStyle w:val="BodyText"/>
      </w:pPr>
      <w:r>
        <w:t xml:space="preserve">The central question is not simply whether Chevron reports higher earnings. Investors will focus on:</w:t>
      </w:r>
    </w:p>
    <w:p>
      <w:pPr>
        <w:pStyle w:val="Compact"/>
        <w:numPr>
          <w:ilvl w:val="0"/>
          <w:numId w:val="1001"/>
        </w:numPr>
      </w:pPr>
      <w:r>
        <w:rPr>
          <w:b/>
          <w:bCs/>
        </w:rPr>
        <w:t xml:space="preserve">How much 1Q’s adverse timing effects reverse in 2Q</w:t>
      </w:r>
    </w:p>
    <w:p>
      <w:pPr>
        <w:pStyle w:val="Compact"/>
        <w:numPr>
          <w:ilvl w:val="0"/>
          <w:numId w:val="1001"/>
        </w:numPr>
      </w:pPr>
      <w:r>
        <w:rPr>
          <w:b/>
          <w:bCs/>
        </w:rPr>
        <w:t xml:space="preserve">Whether production and refinery utilization confirm the company’s operational momentum</w:t>
      </w:r>
    </w:p>
    <w:p>
      <w:pPr>
        <w:pStyle w:val="Compact"/>
        <w:numPr>
          <w:ilvl w:val="0"/>
          <w:numId w:val="1001"/>
        </w:numPr>
      </w:pPr>
      <w:r>
        <w:rPr>
          <w:b/>
          <w:bCs/>
        </w:rPr>
        <w:t xml:space="preserve">Whether higher cash flow changes capital-return, balance-sheet, or growth-investment priorities</w:t>
      </w:r>
    </w:p>
    <w:p>
      <w:pPr>
        <w:pStyle w:val="Compact"/>
        <w:numPr>
          <w:ilvl w:val="0"/>
          <w:numId w:val="1001"/>
        </w:numPr>
      </w:pPr>
      <w:r>
        <w:rPr>
          <w:b/>
          <w:bCs/>
        </w:rPr>
        <w:t xml:space="preserve">How Chevron frames the durability of elevated energy prices versus the risk that the current geopolitical premium proves temporary</w:t>
      </w:r>
    </w:p>
    <w:p>
      <w:pPr>
        <w:pStyle w:val="FirstParagraph"/>
      </w:pPr>
      <w:r>
        <w:t xml:space="preserve">The stock setup suggests a clean beat alone may not be sufficient. Investors likely need evidence that the company can convert the current environment into</w:t>
      </w:r>
      <w:r>
        <w:t xml:space="preserve"> </w:t>
      </w:r>
      <w:r>
        <w:rPr>
          <w:b/>
          <w:bCs/>
        </w:rPr>
        <w:t xml:space="preserve">sustainable free cash flow, stronger integration value, and disciplined capital allocation</w:t>
      </w:r>
      <w:r>
        <w:t xml:space="preserve">.</w:t>
      </w:r>
    </w:p>
    <w:p>
      <w:r>
        <w:pict>
          <v:rect style="width:0;height:1.5pt" o:hralign="center" o:hrstd="t" o:hr="t"/>
        </w:pict>
      </w:r>
    </w:p>
    <w:bookmarkEnd w:id="9"/>
    <w:bookmarkStart w:id="12" w:name="X96cd1e21167ea3f9c88196c3145db7cc5cd1aad"/>
    <w:p>
      <w:pPr>
        <w:pStyle w:val="Heading2"/>
      </w:pPr>
      <w:r>
        <w:t xml:space="preserve">Why 2Q earnings should improve sequentially</w:t>
      </w:r>
    </w:p>
    <w:bookmarkStart w:id="10" w:name="Xfb04eb94e883c4717939cb6eaf90d2e767024f3"/>
    <w:p>
      <w:pPr>
        <w:pStyle w:val="Heading3"/>
      </w:pPr>
      <w:r>
        <w:t xml:space="preserve">1. A meaningful timing unwind should help reported results</w:t>
      </w:r>
    </w:p>
    <w:p>
      <w:pPr>
        <w:pStyle w:val="FirstParagraph"/>
      </w:pPr>
      <w:r>
        <w:t xml:space="preserve">Chevron’s 1Q26 results were held back by approximately</w:t>
      </w:r>
      <w:r>
        <w:t xml:space="preserve"> </w:t>
      </w:r>
      <m:oMath>
        <m:r>
          <m:t>3</m:t>
        </m:r>
        <m:r>
          <m:t>b</m:t>
        </m:r>
        <m:r>
          <m:t>i</m:t>
        </m:r>
        <m:r>
          <m:t>l</m:t>
        </m:r>
        <m:r>
          <m:t>l</m:t>
        </m:r>
        <m:r>
          <m:t>i</m:t>
        </m:r>
        <m:r>
          <m:t>o</m:t>
        </m:r>
        <m:r>
          <m:t>n</m:t>
        </m:r>
        <m:r>
          <m:t>o</m:t>
        </m:r>
        <m:r>
          <m:t>f</m:t>
        </m:r>
        <m:r>
          <m:t>u</m:t>
        </m:r>
        <m:r>
          <m:t>n</m:t>
        </m:r>
        <m:r>
          <m:t>f</m:t>
        </m:r>
        <m:r>
          <m:t>a</m:t>
        </m:r>
        <m:r>
          <m:t>v</m:t>
        </m:r>
        <m:r>
          <m:t>o</m:t>
        </m:r>
        <m:r>
          <m:t>r</m:t>
        </m:r>
        <m:r>
          <m:t>a</m:t>
        </m:r>
        <m:r>
          <m:t>b</m:t>
        </m:r>
        <m:r>
          <m:t>l</m:t>
        </m:r>
        <m:r>
          <m:t>e</m:t>
        </m:r>
        <m:r>
          <m:t>t</m:t>
        </m:r>
        <m:r>
          <m:t>i</m:t>
        </m:r>
        <m:r>
          <m:t>m</m:t>
        </m:r>
        <m:r>
          <m:t>i</m:t>
        </m:r>
        <m:r>
          <m:t>n</m:t>
        </m:r>
        <m:r>
          <m:t>g</m:t>
        </m:r>
        <m:r>
          <m:t>e</m:t>
        </m:r>
        <m:r>
          <m:t>f</m:t>
        </m:r>
        <m:r>
          <m:t>f</m:t>
        </m:r>
        <m:r>
          <m:t>e</m:t>
        </m:r>
        <m:r>
          <m:t>c</m:t>
        </m:r>
        <m:r>
          <m:t>t</m:t>
        </m:r>
        <m:r>
          <m:t>s</m:t>
        </m:r>
        <m:r>
          <m:rPr>
            <m:sty m:val="p"/>
          </m:rPr>
          <m:t>*</m:t>
        </m:r>
        <m:r>
          <m:rPr>
            <m:sty m:val="p"/>
          </m:rPr>
          <m:t>*</m:t>
        </m:r>
        <m:r>
          <m:rPr>
            <m:sty m:val="p"/>
          </m:rPr>
          <m:t>,</m:t>
        </m:r>
        <m:r>
          <m:t>s</m:t>
        </m:r>
        <m:r>
          <m:t>p</m:t>
        </m:r>
        <m:r>
          <m:t>l</m:t>
        </m:r>
        <m:r>
          <m:t>i</m:t>
        </m:r>
        <m:r>
          <m:t>t</m:t>
        </m:r>
        <m:r>
          <m:t>b</m:t>
        </m:r>
        <m:r>
          <m:t>e</m:t>
        </m:r>
        <m:r>
          <m:t>t</m:t>
        </m:r>
        <m:r>
          <m:t>w</m:t>
        </m:r>
        <m:r>
          <m:t>e</m:t>
        </m:r>
        <m:r>
          <m:t>e</m:t>
        </m:r>
        <m:r>
          <m:t>n</m:t>
        </m:r>
        <m:r>
          <m:t>L</m:t>
        </m:r>
        <m:r>
          <m:t>I</m:t>
        </m:r>
        <m:r>
          <m:t>F</m:t>
        </m:r>
        <m:r>
          <m:t>O</m:t>
        </m:r>
        <m:r>
          <m:t>i</m:t>
        </m:r>
        <m:r>
          <m:t>n</m:t>
        </m:r>
        <m:r>
          <m:t>v</m:t>
        </m:r>
        <m:r>
          <m:t>e</m:t>
        </m:r>
        <m:r>
          <m:t>n</m:t>
        </m:r>
        <m:r>
          <m:t>t</m:t>
        </m:r>
        <m:r>
          <m:t>o</m:t>
        </m:r>
        <m:r>
          <m:t>r</m:t>
        </m:r>
        <m:r>
          <m:t>y</m:t>
        </m:r>
        <m:r>
          <m:t>a</m:t>
        </m:r>
        <m:r>
          <m:t>c</m:t>
        </m:r>
        <m:r>
          <m:t>c</m:t>
        </m:r>
        <m:r>
          <m:t>o</m:t>
        </m:r>
        <m:r>
          <m:t>u</m:t>
        </m:r>
        <m:r>
          <m:t>n</m:t>
        </m:r>
        <m:r>
          <m:t>t</m:t>
        </m:r>
        <m:r>
          <m:t>i</m:t>
        </m:r>
        <m:r>
          <m:t>n</m:t>
        </m:r>
        <m:r>
          <m:t>g</m:t>
        </m:r>
        <m:r>
          <m:t>a</m:t>
        </m:r>
        <m:r>
          <m:t>n</m:t>
        </m:r>
        <m:r>
          <m:t>d</m:t>
        </m:r>
        <m:r>
          <m:t>m</m:t>
        </m:r>
        <m:r>
          <m:t>a</m:t>
        </m:r>
        <m:r>
          <m:t>r</m:t>
        </m:r>
        <m:r>
          <m:t>k</m:t>
        </m:r>
        <m:r>
          <m:rPr>
            <m:sty m:val="p"/>
          </m:rPr>
          <m:t>−</m:t>
        </m:r>
        <m:r>
          <m:t>t</m:t>
        </m:r>
        <m:r>
          <m:t>o</m:t>
        </m:r>
        <m:r>
          <m:rPr>
            <m:sty m:val="p"/>
          </m:rPr>
          <m:t>−</m:t>
        </m:r>
        <m:r>
          <m:t>m</m:t>
        </m:r>
        <m:r>
          <m:t>a</m:t>
        </m:r>
        <m:r>
          <m:t>r</m:t>
        </m:r>
        <m:r>
          <m:t>k</m:t>
        </m:r>
        <m:r>
          <m:t>e</m:t>
        </m:r>
        <m:r>
          <m:t>t</m:t>
        </m:r>
        <m:r>
          <m:t>i</m:t>
        </m:r>
        <m:r>
          <m:t>m</m:t>
        </m:r>
        <m:r>
          <m:t>p</m:t>
        </m:r>
        <m:r>
          <m:t>a</m:t>
        </m:r>
        <m:r>
          <m:t>c</m:t>
        </m:r>
        <m:r>
          <m:t>t</m:t>
        </m:r>
        <m:r>
          <m:t>s</m:t>
        </m:r>
        <m:r>
          <m:t>o</m:t>
        </m:r>
        <m:r>
          <m:t>n</m:t>
        </m:r>
        <m:r>
          <m:t>d</m:t>
        </m:r>
        <m:r>
          <m:t>e</m:t>
        </m:r>
        <m:r>
          <m:t>r</m:t>
        </m:r>
        <m:r>
          <m:t>i</m:t>
        </m:r>
        <m:r>
          <m:t>v</m:t>
        </m:r>
        <m:r>
          <m:t>a</m:t>
        </m:r>
        <m:r>
          <m:t>t</m:t>
        </m:r>
        <m:r>
          <m:t>i</m:t>
        </m:r>
        <m:r>
          <m:t>v</m:t>
        </m:r>
        <m:r>
          <m:t>e</m:t>
        </m:r>
        <m:r>
          <m:t>p</m:t>
        </m:r>
        <m:r>
          <m:t>o</m:t>
        </m:r>
        <m:r>
          <m:t>s</m:t>
        </m:r>
        <m:r>
          <m:t>i</m:t>
        </m:r>
        <m:r>
          <m:t>t</m:t>
        </m:r>
        <m:r>
          <m:t>i</m:t>
        </m:r>
        <m:r>
          <m:t>o</m:t>
        </m:r>
        <m:r>
          <m:t>n</m:t>
        </m:r>
        <m:r>
          <m:t>s</m:t>
        </m:r>
        <m:r>
          <m:t>t</m:t>
        </m:r>
        <m:r>
          <m:t>i</m:t>
        </m:r>
        <m:r>
          <m:t>e</m:t>
        </m:r>
        <m:r>
          <m:t>d</m:t>
        </m:r>
        <m:r>
          <m:t>t</m:t>
        </m:r>
        <m:r>
          <m:t>o</m:t>
        </m:r>
        <m:r>
          <m:t>f</m:t>
        </m:r>
        <m:r>
          <m:t>u</m:t>
        </m:r>
        <m:r>
          <m:t>t</m:t>
        </m:r>
        <m:r>
          <m:t>u</m:t>
        </m:r>
        <m:r>
          <m:t>r</m:t>
        </m:r>
        <m:r>
          <m:t>e</m:t>
        </m:r>
        <m:r>
          <m:t>p</m:t>
        </m:r>
        <m:r>
          <m:t>h</m:t>
        </m:r>
        <m:r>
          <m:t>y</m:t>
        </m:r>
        <m:r>
          <m:t>s</m:t>
        </m:r>
        <m:r>
          <m:t>i</m:t>
        </m:r>
        <m:r>
          <m:t>c</m:t>
        </m:r>
        <m:r>
          <m:t>a</m:t>
        </m:r>
        <m:r>
          <m:t>l</m:t>
        </m:r>
        <m:r>
          <m:t>h</m:t>
        </m:r>
        <m:r>
          <m:t>y</m:t>
        </m:r>
        <m:r>
          <m:t>d</m:t>
        </m:r>
        <m:r>
          <m:t>r</m:t>
        </m:r>
        <m:r>
          <m:t>o</m:t>
        </m:r>
        <m:r>
          <m:t>c</m:t>
        </m:r>
        <m:r>
          <m:t>a</m:t>
        </m:r>
        <m:r>
          <m:t>r</m:t>
        </m:r>
        <m:r>
          <m:t>b</m:t>
        </m:r>
        <m:r>
          <m:t>o</m:t>
        </m:r>
        <m:r>
          <m:t>n</m:t>
        </m:r>
        <m:r>
          <m:t>d</m:t>
        </m:r>
        <m:r>
          <m:t>e</m:t>
        </m:r>
        <m:r>
          <m:t>l</m:t>
        </m:r>
        <m:r>
          <m:t>i</m:t>
        </m:r>
        <m:r>
          <m:t>v</m:t>
        </m:r>
        <m:r>
          <m:t>e</m:t>
        </m:r>
        <m:r>
          <m:t>r</m:t>
        </m:r>
        <m:r>
          <m:t>i</m:t>
        </m:r>
        <m:r>
          <m:t>e</m:t>
        </m:r>
        <m:r>
          <m:t>s</m:t>
        </m:r>
        <m:r>
          <m:rPr>
            <m:sty m:val="p"/>
          </m:rPr>
          <m:t>.</m:t>
        </m:r>
        <m:r>
          <m:t>M</m:t>
        </m:r>
        <m:r>
          <m:t>a</m:t>
        </m:r>
        <m:r>
          <m:t>n</m:t>
        </m:r>
        <m:r>
          <m:t>a</m:t>
        </m:r>
        <m:r>
          <m:t>g</m:t>
        </m:r>
        <m:r>
          <m:t>e</m:t>
        </m:r>
        <m:r>
          <m:t>m</m:t>
        </m:r>
        <m:r>
          <m:t>e</m:t>
        </m:r>
        <m:r>
          <m:t>n</m:t>
        </m:r>
        <m:r>
          <m:t>t</m:t>
        </m:r>
        <m:r>
          <m:t>i</m:t>
        </m:r>
        <m:r>
          <m:t>n</m:t>
        </m:r>
        <m:r>
          <m:t>d</m:t>
        </m:r>
        <m:r>
          <m:t>i</m:t>
        </m:r>
        <m:r>
          <m:t>c</m:t>
        </m:r>
        <m:r>
          <m:t>a</m:t>
        </m:r>
        <m:r>
          <m:t>t</m:t>
        </m:r>
        <m:r>
          <m:t>e</m:t>
        </m:r>
        <m:r>
          <m:t>d</m:t>
        </m:r>
        <m:r>
          <m:t>t</m:t>
        </m:r>
        <m:r>
          <m:t>h</m:t>
        </m:r>
        <m:r>
          <m:t>a</m:t>
        </m:r>
        <m:r>
          <m:t>t</m:t>
        </m:r>
        <m:r>
          <m:t>r</m:t>
        </m:r>
        <m:r>
          <m:t>o</m:t>
        </m:r>
        <m:r>
          <m:t>u</m:t>
        </m:r>
        <m:r>
          <m:t>g</m:t>
        </m:r>
        <m:r>
          <m:t>h</m:t>
        </m:r>
        <m:r>
          <m:t>l</m:t>
        </m:r>
        <m:r>
          <m:t>y</m:t>
        </m:r>
        <m:r>
          <m:rPr>
            <m:sty m:val="p"/>
          </m:rPr>
          <m:t>*</m:t>
        </m:r>
        <m:r>
          <m:rPr>
            <m:sty m:val="p"/>
          </m:rPr>
          <m:t>*</m:t>
        </m:r>
      </m:oMath>
      <w:r>
        <w:rPr>
          <w:b/>
          <w:bCs/>
        </w:rPr>
        <w:t xml:space="preserve">1 billion of the paper-derivative impact</w:t>
      </w:r>
      <w:r>
        <w:t xml:space="preserve"> </w:t>
      </w:r>
      <w:r>
        <w:t xml:space="preserve">was expected to unwind in 2Q, largely as associated cargoes were delivered in April.</w:t>
      </w:r>
    </w:p>
    <w:p>
      <w:pPr>
        <w:pStyle w:val="BodyText"/>
      </w:pPr>
      <w:r>
        <w:t xml:space="preserve">That makes the timing bridge the most important accounting item in the release:</w:t>
      </w:r>
    </w:p>
    <w:p>
      <w:pPr>
        <w:pStyle w:val="Compact"/>
        <w:numPr>
          <w:ilvl w:val="0"/>
          <w:numId w:val="1002"/>
        </w:numPr>
      </w:pPr>
      <w:r>
        <w:rPr>
          <w:b/>
          <w:bCs/>
        </w:rPr>
        <w:t xml:space="preserve">Bullish read:</w:t>
      </w:r>
      <w:r>
        <w:t xml:space="preserve"> </w:t>
      </w:r>
      <w:r>
        <w:t xml:space="preserve">a substantial reversal supports reported earnings and validates that the 1Q weakness was largely timing-related rather than operational.</w:t>
      </w:r>
    </w:p>
    <w:p>
      <w:pPr>
        <w:pStyle w:val="Compact"/>
        <w:numPr>
          <w:ilvl w:val="0"/>
          <w:numId w:val="1002"/>
        </w:numPr>
      </w:pPr>
      <w:r>
        <w:rPr>
          <w:b/>
          <w:bCs/>
        </w:rPr>
        <w:t xml:space="preserve">Bearish read:</w:t>
      </w:r>
      <w:r>
        <w:t xml:space="preserve"> </w:t>
      </w:r>
      <w:r>
        <w:t xml:space="preserve">another large negative timing impact, or a smaller-than-expected unwind, could obscure otherwise strong underlying commodity and operational performance.</w:t>
      </w:r>
    </w:p>
    <w:p>
      <w:pPr>
        <w:pStyle w:val="FirstParagraph"/>
      </w:pPr>
      <w:r>
        <w:t xml:space="preserve">Investors should distinguish between</w:t>
      </w:r>
      <w:r>
        <w:t xml:space="preserve"> </w:t>
      </w:r>
      <w:r>
        <w:rPr>
          <w:b/>
          <w:bCs/>
        </w:rPr>
        <w:t xml:space="preserve">reported EPS</w:t>
      </w:r>
      <w:r>
        <w:t xml:space="preserve">, Chevron’s</w:t>
      </w:r>
      <w:r>
        <w:t xml:space="preserve"> </w:t>
      </w:r>
      <w:r>
        <w:rPr>
          <w:b/>
          <w:bCs/>
        </w:rPr>
        <w:t xml:space="preserve">adjusted earnings</w:t>
      </w:r>
      <w:r>
        <w:t xml:space="preserve">, and cash-flow measures excluding working-capital movements.</w:t>
      </w:r>
    </w:p>
    <w:bookmarkEnd w:id="10"/>
    <w:bookmarkStart w:id="11" w:name="X67cb0d9b5660ef44c4e28ef6f22f5a7f380ce95"/>
    <w:p>
      <w:pPr>
        <w:pStyle w:val="Heading3"/>
      </w:pPr>
      <w:r>
        <w:t xml:space="preserve">2. Upstream volume momentum should remain the core fundamental driver</w:t>
      </w:r>
    </w:p>
    <w:p>
      <w:pPr>
        <w:pStyle w:val="FirstParagraph"/>
      </w:pPr>
      <w:r>
        <w:t xml:space="preserve">In 1Q, Chevron produced</w:t>
      </w:r>
      <w:r>
        <w:t xml:space="preserve"> </w:t>
      </w:r>
      <w:r>
        <w:rPr>
          <w:b/>
          <w:bCs/>
        </w:rPr>
        <w:t xml:space="preserve">3.858 million boe/d</w:t>
      </w:r>
      <w:r>
        <w:t xml:space="preserve">, up 15% year over year, with U.S. output up 24%. The growth was driven by legacy Hess assets, Gulf of America project ramp-ups, and Permian growth. Management entered 2Q expecting production above 1Q levels and reiterated full-year production growth of</w:t>
      </w:r>
      <w:r>
        <w:t xml:space="preserve"> </w:t>
      </w:r>
      <w:r>
        <w:rPr>
          <w:b/>
          <w:bCs/>
        </w:rPr>
        <w:t xml:space="preserve">7%–10%</w:t>
      </w:r>
      <w:r>
        <w:t xml:space="preserve">.</w:t>
      </w:r>
    </w:p>
    <w:p>
      <w:pPr>
        <w:pStyle w:val="BodyText"/>
      </w:pPr>
      <w:r>
        <w:t xml:space="preserve">Key assets to watch:</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Asset / area</w:t>
            </w:r>
          </w:p>
        </w:tc>
        <w:tc>
          <w:tcPr/>
          <w:p>
            <w:pPr>
              <w:pStyle w:val="Compact"/>
            </w:pPr>
            <w:r>
              <w:t xml:space="preserve">Why it matters for 2Q</w:t>
            </w:r>
          </w:p>
        </w:tc>
      </w:tr>
      <w:tr>
        <w:tc>
          <w:tcPr/>
          <w:p>
            <w:pPr>
              <w:pStyle w:val="Compact"/>
            </w:pPr>
            <w:r>
              <w:rPr>
                <w:b/>
                <w:bCs/>
              </w:rPr>
              <w:t xml:space="preserve">Tengizchevroil (TCO)</w:t>
            </w:r>
          </w:p>
        </w:tc>
        <w:tc>
          <w:tcPr/>
          <w:p>
            <w:pPr>
              <w:pStyle w:val="Compact"/>
            </w:pPr>
            <w:r>
              <w:t xml:space="preserve">TCO returned to full operation after 1Q disruption and was producing above 1 million boe/d. It is a major cash-flow lever and a potential source of upside through debottlenecking.</w:t>
            </w:r>
          </w:p>
        </w:tc>
      </w:tr>
      <w:tr>
        <w:tc>
          <w:tcPr/>
          <w:p>
            <w:pPr>
              <w:pStyle w:val="Compact"/>
            </w:pPr>
            <w:r>
              <w:rPr>
                <w:b/>
                <w:bCs/>
              </w:rPr>
              <w:t xml:space="preserve">Hess assets / Guyana / Bakken</w:t>
            </w:r>
          </w:p>
        </w:tc>
        <w:tc>
          <w:tcPr/>
          <w:p>
            <w:pPr>
              <w:pStyle w:val="Compact"/>
            </w:pPr>
            <w:r>
              <w:t xml:space="preserve">The first full periods of integrated operation are central to Chevron’s higher production base, synergy delivery, and longer-term cash-flow story.</w:t>
            </w:r>
          </w:p>
        </w:tc>
      </w:tr>
      <w:tr>
        <w:tc>
          <w:tcPr/>
          <w:p>
            <w:pPr>
              <w:pStyle w:val="Compact"/>
            </w:pPr>
            <w:r>
              <w:rPr>
                <w:b/>
                <w:bCs/>
              </w:rPr>
              <w:t xml:space="preserve">Permian</w:t>
            </w:r>
          </w:p>
        </w:tc>
        <w:tc>
          <w:tcPr/>
          <w:p>
            <w:pPr>
              <w:pStyle w:val="Compact"/>
            </w:pPr>
            <w:r>
              <w:t xml:space="preserve">Chevron is prioritizing free cash flow and lower capital intensity over near-term volume maximization. Investors will watch for continued cost and productivity gains.</w:t>
            </w:r>
          </w:p>
        </w:tc>
      </w:tr>
      <w:tr>
        <w:tc>
          <w:tcPr/>
          <w:p>
            <w:pPr>
              <w:pStyle w:val="Compact"/>
            </w:pPr>
            <w:r>
              <w:rPr>
                <w:b/>
                <w:bCs/>
              </w:rPr>
              <w:t xml:space="preserve">Australia LNG</w:t>
            </w:r>
          </w:p>
        </w:tc>
        <w:tc>
          <w:tcPr/>
          <w:p>
            <w:pPr>
              <w:pStyle w:val="Compact"/>
            </w:pPr>
            <w:r>
              <w:t xml:space="preserve">Gorgon and Wheatstone were operating at full rates entering 2Q; strong reliability supports cash flow and helps offset regional disruptions elsewhere.</w:t>
            </w:r>
          </w:p>
        </w:tc>
      </w:tr>
      <w:tr>
        <w:tc>
          <w:tcPr/>
          <w:p>
            <w:pPr>
              <w:pStyle w:val="Compact"/>
            </w:pPr>
            <w:r>
              <w:rPr>
                <w:b/>
                <w:bCs/>
              </w:rPr>
              <w:t xml:space="preserve">Eastern Mediterranean</w:t>
            </w:r>
          </w:p>
        </w:tc>
        <w:tc>
          <w:tcPr/>
          <w:p>
            <w:pPr>
              <w:pStyle w:val="Compact"/>
            </w:pPr>
            <w:r>
              <w:t xml:space="preserve">Tamar and Leviathan expansions add strategic gas exposure, though regional operating and geopolitical risks remain elevated.</w:t>
            </w:r>
          </w:p>
        </w:tc>
      </w:tr>
    </w:tbl>
    <w:p>
      <w:pPr>
        <w:pStyle w:val="BodyText"/>
      </w:pPr>
      <w:r>
        <w:t xml:space="preserve">The key operational test is whether Chevron can deliver the promised production growth</w:t>
      </w:r>
      <w:r>
        <w:t xml:space="preserve"> </w:t>
      </w:r>
      <w:r>
        <w:rPr>
          <w:b/>
          <w:bCs/>
        </w:rPr>
        <w:t xml:space="preserve">without raising capital spending or sacrificing reliability</w:t>
      </w:r>
      <w:r>
        <w:t xml:space="preserve">.</w:t>
      </w:r>
    </w:p>
    <w:p>
      <w:r>
        <w:pict>
          <v:rect style="width:0;height:1.5pt" o:hralign="center" o:hrstd="t" o:hr="t"/>
        </w:pict>
      </w:r>
    </w:p>
    <w:bookmarkEnd w:id="11"/>
    <w:bookmarkEnd w:id="12"/>
    <w:bookmarkStart w:id="13" w:name="Xb60daffdc4d3fb8a78f60ef0976008a4f00a428"/>
    <w:p>
      <w:pPr>
        <w:pStyle w:val="Heading2"/>
      </w:pPr>
      <w:r>
        <w:t xml:space="preserve">Downstream could be a larger swing factor than usual</w:t>
      </w:r>
    </w:p>
    <w:p>
      <w:pPr>
        <w:pStyle w:val="FirstParagraph"/>
      </w:pPr>
      <w:r>
        <w:t xml:space="preserve">Chevron’s integrated model is especially relevant in a volatile physical market. In 1Q, U.S. refinery crude throughput reached a March record, and management expected high refinery utilization in 2Q, including greater use of Chevron equity crude across its refining system.</w:t>
      </w:r>
    </w:p>
    <w:p>
      <w:pPr>
        <w:pStyle w:val="BodyText"/>
      </w:pPr>
      <w:r>
        <w:t xml:space="preserve">The company has emphasized that its expanded portfolio—especially waterborne crude access from Guyana, TCO, the Permian, Venezuela, and Argentina—creates an opportunity to optimize barrels internally when physical markets are tight.</w:t>
      </w:r>
    </w:p>
    <w:p>
      <w:pPr>
        <w:pStyle w:val="BodyText"/>
      </w:pPr>
      <w:r>
        <w:t xml:space="preserve">For 2Q, investors should look for:</w:t>
      </w:r>
    </w:p>
    <w:p>
      <w:pPr>
        <w:pStyle w:val="Compact"/>
        <w:numPr>
          <w:ilvl w:val="0"/>
          <w:numId w:val="1003"/>
        </w:numPr>
      </w:pPr>
      <w:r>
        <w:rPr>
          <w:b/>
          <w:bCs/>
        </w:rPr>
        <w:t xml:space="preserve">U.S. refinery throughput and reliability</w:t>
      </w:r>
    </w:p>
    <w:p>
      <w:pPr>
        <w:pStyle w:val="Compact"/>
        <w:numPr>
          <w:ilvl w:val="0"/>
          <w:numId w:val="1003"/>
        </w:numPr>
      </w:pPr>
      <w:r>
        <w:rPr>
          <w:b/>
          <w:bCs/>
        </w:rPr>
        <w:t xml:space="preserve">Refining-margin capture</w:t>
      </w:r>
      <w:r>
        <w:t xml:space="preserve">, rather than broad benchmark margins alone</w:t>
      </w:r>
    </w:p>
    <w:p>
      <w:pPr>
        <w:pStyle w:val="Compact"/>
        <w:numPr>
          <w:ilvl w:val="0"/>
          <w:numId w:val="1003"/>
        </w:numPr>
      </w:pPr>
      <w:r>
        <w:rPr>
          <w:b/>
          <w:bCs/>
        </w:rPr>
        <w:t xml:space="preserve">International downstream profitability</w:t>
      </w:r>
      <w:r>
        <w:t xml:space="preserve">, which was weak in 1Q because of timing effects, transportation costs, and lower product margins</w:t>
      </w:r>
    </w:p>
    <w:p>
      <w:pPr>
        <w:pStyle w:val="Compact"/>
        <w:numPr>
          <w:ilvl w:val="0"/>
          <w:numId w:val="1003"/>
        </w:numPr>
      </w:pPr>
      <w:r>
        <w:t xml:space="preserve">Evidence that higher equity-crude throughput is translating into integrated value capture</w:t>
      </w:r>
    </w:p>
    <w:p>
      <w:pPr>
        <w:pStyle w:val="FirstParagraph"/>
      </w:pPr>
      <w:r>
        <w:t xml:space="preserve">A strong downstream result would matter because it would demonstrate that Chevron is not merely receiving a higher upstream price realization—it is monetizing its portfolio’s physical optionality.</w:t>
      </w:r>
    </w:p>
    <w:p>
      <w:r>
        <w:pict>
          <v:rect style="width:0;height:1.5pt" o:hralign="center" o:hrstd="t" o:hr="t"/>
        </w:pict>
      </w:r>
    </w:p>
    <w:bookmarkEnd w:id="13"/>
    <w:bookmarkStart w:id="15" w:name="X052cf9c250eb8614ceb7ecdf9377fba534e1f68"/>
    <w:p>
      <w:pPr>
        <w:pStyle w:val="Heading2"/>
      </w:pPr>
      <w:r>
        <w:t xml:space="preserve">Cash flow and capital allocation: the most important discussion after EPS</w:t>
      </w:r>
    </w:p>
    <w:p>
      <w:pPr>
        <w:pStyle w:val="FirstParagraph"/>
      </w:pPr>
      <w:r>
        <w:t xml:space="preserve">Chevron returned</w:t>
      </w:r>
      <w:r>
        <w:t xml:space="preserve"> </w:t>
      </w:r>
      <m:oMath>
        <m:r>
          <m:t>6.0</m:t>
        </m:r>
        <m:r>
          <m:t>b</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t>i</m:t>
        </m:r>
        <m:r>
          <m:t>n</m:t>
        </m:r>
        <m:r>
          <m:t>1</m:t>
        </m:r>
        <m:r>
          <m:t>Q</m:t>
        </m:r>
        <m:r>
          <m:rPr>
            <m:sty m:val="p"/>
          </m:rPr>
          <m:t>,</m:t>
        </m:r>
        <m:r>
          <m:t>i</m:t>
        </m:r>
        <m:r>
          <m:t>n</m:t>
        </m:r>
        <m:r>
          <m:t>c</m:t>
        </m:r>
        <m:r>
          <m:t>l</m:t>
        </m:r>
        <m:r>
          <m:t>u</m:t>
        </m:r>
        <m:r>
          <m:t>d</m:t>
        </m:r>
        <m:r>
          <m:t>i</m:t>
        </m:r>
        <m:r>
          <m:t>n</m:t>
        </m:r>
        <m:r>
          <m:t>g</m:t>
        </m:r>
        <m:r>
          <m:rPr>
            <m:sty m:val="p"/>
          </m:rPr>
          <m:t>*</m:t>
        </m:r>
        <m:r>
          <m:rPr>
            <m:sty m:val="p"/>
          </m:rPr>
          <m:t>*</m:t>
        </m:r>
      </m:oMath>
      <w:r>
        <w:rPr>
          <w:b/>
          <w:bCs/>
        </w:rPr>
        <w:t xml:space="preserve">2.5 billion of share repurchases</w:t>
      </w:r>
      <w:r>
        <w:t xml:space="preserve"> </w:t>
      </w:r>
      <w:r>
        <w:t xml:space="preserve">and</w:t>
      </w:r>
      <w:r>
        <w:t xml:space="preserve"> </w:t>
      </w:r>
      <m:oMath>
        <m:r>
          <m:t>3.5</m:t>
        </m:r>
        <m:r>
          <m:t>b</m:t>
        </m:r>
        <m:r>
          <m:t>i</m:t>
        </m:r>
        <m:r>
          <m:t>l</m:t>
        </m:r>
        <m:r>
          <m:t>l</m:t>
        </m:r>
        <m:r>
          <m:t>i</m:t>
        </m:r>
        <m:r>
          <m:t>o</m:t>
        </m:r>
        <m:r>
          <m:t>n</m:t>
        </m:r>
        <m:r>
          <m:t>o</m:t>
        </m:r>
        <m:r>
          <m:t>f</m:t>
        </m:r>
        <m:r>
          <m:t>d</m:t>
        </m:r>
        <m:r>
          <m:t>i</m:t>
        </m:r>
        <m:r>
          <m:t>v</m:t>
        </m:r>
        <m:r>
          <m:t>i</m:t>
        </m:r>
        <m:r>
          <m:t>d</m:t>
        </m:r>
        <m:r>
          <m:t>e</m:t>
        </m:r>
        <m:r>
          <m:t>n</m:t>
        </m:r>
        <m:r>
          <m:t>d</m:t>
        </m:r>
        <m:r>
          <m:t>s</m:t>
        </m:r>
        <m:r>
          <m:rPr>
            <m:sty m:val="p"/>
          </m:rPr>
          <m:t>*</m:t>
        </m:r>
        <m:r>
          <m:rPr>
            <m:sty m:val="p"/>
          </m:rPr>
          <m:t>*</m:t>
        </m:r>
        <m:r>
          <m:rPr>
            <m:sty m:val="p"/>
          </m:rPr>
          <m:t>.</m:t>
        </m:r>
        <m:r>
          <m:t>I</m:t>
        </m:r>
        <m:r>
          <m:t>t</m:t>
        </m:r>
        <m:r>
          <m:t>m</m:t>
        </m:r>
        <m:r>
          <m:t>a</m:t>
        </m:r>
        <m:r>
          <m:t>i</m:t>
        </m:r>
        <m:r>
          <m:t>n</m:t>
        </m:r>
        <m:r>
          <m:t>t</m:t>
        </m:r>
        <m:r>
          <m:t>a</m:t>
        </m:r>
        <m:r>
          <m:t>i</m:t>
        </m:r>
        <m:r>
          <m:t>n</m:t>
        </m:r>
        <m:r>
          <m:t>e</m:t>
        </m:r>
        <m:r>
          <m:t>d</m:t>
        </m:r>
        <m:r>
          <m:t>a</m:t>
        </m:r>
        <m:r>
          <m:t>q</m:t>
        </m:r>
        <m:r>
          <m:t>u</m:t>
        </m:r>
        <m:r>
          <m:t>a</m:t>
        </m:r>
        <m:r>
          <m:t>r</m:t>
        </m:r>
        <m:r>
          <m:t>t</m:t>
        </m:r>
        <m:r>
          <m:t>e</m:t>
        </m:r>
        <m:r>
          <m:t>r</m:t>
        </m:r>
        <m:r>
          <m:t>l</m:t>
        </m:r>
        <m:r>
          <m:t>y</m:t>
        </m:r>
        <m:r>
          <m:t>b</m:t>
        </m:r>
        <m:r>
          <m:t>u</m:t>
        </m:r>
        <m:r>
          <m:t>y</m:t>
        </m:r>
        <m:r>
          <m:t>b</m:t>
        </m:r>
        <m:r>
          <m:t>a</m:t>
        </m:r>
        <m:r>
          <m:t>c</m:t>
        </m:r>
        <m:r>
          <m:t>k</m:t>
        </m:r>
        <m:r>
          <m:t>f</m:t>
        </m:r>
        <m:r>
          <m:t>r</m:t>
        </m:r>
        <m:r>
          <m:t>a</m:t>
        </m:r>
        <m:r>
          <m:t>m</m:t>
        </m:r>
        <m:r>
          <m:t>e</m:t>
        </m:r>
        <m:r>
          <m:t>w</m:t>
        </m:r>
        <m:r>
          <m:t>o</m:t>
        </m:r>
        <m:r>
          <m:t>r</m:t>
        </m:r>
        <m:r>
          <m:t>k</m:t>
        </m:r>
        <m:r>
          <m:t>o</m:t>
        </m:r>
        <m:r>
          <m:t>f</m:t>
        </m:r>
        <m:r>
          <m:t>r</m:t>
        </m:r>
        <m:r>
          <m:t>o</m:t>
        </m:r>
        <m:r>
          <m:t>u</m:t>
        </m:r>
        <m:r>
          <m:t>g</m:t>
        </m:r>
        <m:r>
          <m:t>h</m:t>
        </m:r>
        <m:r>
          <m:t>l</m:t>
        </m:r>
        <m:r>
          <m:t>y</m:t>
        </m:r>
        <m:r>
          <m:rPr>
            <m:sty m:val="p"/>
          </m:rPr>
          <m:t>*</m:t>
        </m:r>
        <m:r>
          <m:rPr>
            <m:sty m:val="p"/>
          </m:rPr>
          <m:t>*</m:t>
        </m:r>
      </m:oMath>
      <w:r>
        <w:rPr>
          <w:b/>
          <w:bCs/>
        </w:rPr>
        <w:t xml:space="preserve">2.5 billion–</w:t>
      </w:r>
      <m:oMath>
        <m:r>
          <m:t>3.0</m:t>
        </m:r>
        <m:r>
          <m:t>b</m:t>
        </m:r>
        <m:r>
          <m:t>i</m:t>
        </m:r>
        <m:r>
          <m:t>l</m:t>
        </m:r>
        <m:r>
          <m:t>l</m:t>
        </m:r>
        <m:r>
          <m:t>i</m:t>
        </m:r>
        <m:r>
          <m:t>o</m:t>
        </m:r>
        <m:r>
          <m:t>n</m:t>
        </m:r>
        <m:r>
          <m:rPr>
            <m:sty m:val="p"/>
          </m:rPr>
          <m:t>*</m:t>
        </m:r>
        <m:r>
          <m:rPr>
            <m:sty m:val="p"/>
          </m:rPr>
          <m:t>*</m:t>
        </m:r>
        <m:r>
          <m:t>a</m:t>
        </m:r>
        <m:r>
          <m:t>n</m:t>
        </m:r>
        <m:r>
          <m:t>d</m:t>
        </m:r>
        <m:r>
          <m:t>a</m:t>
        </m:r>
        <m:r>
          <m:t>2026</m:t>
        </m:r>
        <m:r>
          <m:t>c</m:t>
        </m:r>
        <m:r>
          <m:t>a</m:t>
        </m:r>
        <m:r>
          <m:t>p</m:t>
        </m:r>
        <m:r>
          <m:t>i</m:t>
        </m:r>
        <m:r>
          <m:t>t</m:t>
        </m:r>
        <m:r>
          <m:t>a</m:t>
        </m:r>
        <m:r>
          <m:t>l</m:t>
        </m:r>
        <m:r>
          <m:t>b</m:t>
        </m:r>
        <m:r>
          <m:t>u</m:t>
        </m:r>
        <m:r>
          <m:t>d</m:t>
        </m:r>
        <m:r>
          <m:t>g</m:t>
        </m:r>
        <m:r>
          <m:t>e</m:t>
        </m:r>
        <m:r>
          <m:t>t</m:t>
        </m:r>
        <m:r>
          <m:t>o</m:t>
        </m:r>
        <m:r>
          <m:t>f</m:t>
        </m:r>
        <m:r>
          <m:rPr>
            <m:sty m:val="p"/>
          </m:rPr>
          <m:t>*</m:t>
        </m:r>
        <m:r>
          <m:rPr>
            <m:sty m:val="p"/>
          </m:rPr>
          <m:t>*</m:t>
        </m:r>
      </m:oMath>
      <w:r>
        <w:rPr>
          <w:b/>
          <w:bCs/>
        </w:rPr>
        <w:t xml:space="preserve">18 billion–$19 billion</w:t>
      </w:r>
      <w:r>
        <w:t xml:space="preserve">.</w:t>
      </w:r>
    </w:p>
    <w:p>
      <w:pPr>
        <w:pStyle w:val="BodyText"/>
      </w:pPr>
      <w:r>
        <w:t xml:space="preserve">The 2Q call should clarify whether management remains committed to its “steady through the cycle” posture.</w:t>
      </w:r>
    </w:p>
    <w:bookmarkStart w:id="14" w:name="what-investors-want-to-hear"/>
    <w:p>
      <w:pPr>
        <w:pStyle w:val="Heading3"/>
      </w:pPr>
      <w:r>
        <w:t xml:space="preserve">What investors want to hear</w:t>
      </w:r>
    </w:p>
    <w:p>
      <w:pPr>
        <w:numPr>
          <w:ilvl w:val="0"/>
          <w:numId w:val="1004"/>
        </w:numPr>
      </w:pPr>
      <w:r>
        <w:rPr>
          <w:b/>
          <w:bCs/>
        </w:rPr>
        <w:t xml:space="preserve">Buybacks remain within the stated range.</w:t>
      </w:r>
      <w:r>
        <w:br/>
      </w:r>
      <w:r>
        <w:t xml:space="preserve">A stable buyback message would reinforce management’s commitment to avoid procyclical capital returns.</w:t>
      </w:r>
    </w:p>
    <w:p>
      <w:pPr>
        <w:numPr>
          <w:ilvl w:val="0"/>
          <w:numId w:val="1004"/>
        </w:numPr>
      </w:pPr>
      <w:r>
        <w:rPr>
          <w:b/>
          <w:bCs/>
        </w:rPr>
        <w:t xml:space="preserve">Capex remains within guidance.</w:t>
      </w:r>
      <w:r>
        <w:br/>
      </w:r>
      <w:r>
        <w:t xml:space="preserve">Chevron has repeatedly argued that it does not need to materially expand spending to benefit from higher prices. Maintaining that stance would support free-cash-flow conversion.</w:t>
      </w:r>
    </w:p>
    <w:p>
      <w:pPr>
        <w:numPr>
          <w:ilvl w:val="0"/>
          <w:numId w:val="1004"/>
        </w:numPr>
      </w:pPr>
      <w:r>
        <w:rPr>
          <w:b/>
          <w:bCs/>
        </w:rPr>
        <w:t xml:space="preserve">Debt and commercial-paper balances decline.</w:t>
      </w:r>
      <w:r>
        <w:br/>
      </w:r>
      <w:r>
        <w:t xml:space="preserve">1Q working-capital outflows were severe amid rising commodity prices, and Chevron used more than $5 billion of commercial paper for liquidity. Management expected balances to decline through 2Q.</w:t>
      </w:r>
    </w:p>
    <w:p>
      <w:pPr>
        <w:numPr>
          <w:ilvl w:val="0"/>
          <w:numId w:val="1004"/>
        </w:numPr>
      </w:pPr>
      <w:r>
        <w:rPr>
          <w:b/>
          <w:bCs/>
        </w:rPr>
        <w:t xml:space="preserve">Hess synergies are tracking ahead of plan.</w:t>
      </w:r>
      <w:r>
        <w:br/>
      </w:r>
      <w:r>
        <w:t xml:space="preserve">Chevron raised its Hess synergy target to</w:t>
      </w:r>
      <w:r>
        <w:t xml:space="preserve"> </w:t>
      </w:r>
      <w:r>
        <w:rPr>
          <w:b/>
          <w:bCs/>
        </w:rPr>
        <w:t xml:space="preserve">$1.5 billion by year-end 2026</w:t>
      </w:r>
      <w:r>
        <w:t xml:space="preserve">, after achieving the original $1 billion run-rate goal well ahead of schedule. Further progress would support the investment case beyond oil-price beta.</w:t>
      </w:r>
    </w:p>
    <w:p>
      <w:r>
        <w:pict>
          <v:rect style="width:0;height:1.5pt" o:hralign="center" o:hrstd="t" o:hr="t"/>
        </w:pict>
      </w:r>
    </w:p>
    <w:bookmarkEnd w:id="14"/>
    <w:bookmarkEnd w:id="15"/>
    <w:bookmarkStart w:id="16" w:name="Xe466fb31eacce206a71b8d40b4c55eb05736d87"/>
    <w:p>
      <w:pPr>
        <w:pStyle w:val="Heading2"/>
      </w:pPr>
      <w:r>
        <w:t xml:space="preserve">The strategic issue: what will Chevron do with excess cash?</w:t>
      </w:r>
    </w:p>
    <w:p>
      <w:pPr>
        <w:pStyle w:val="FirstParagraph"/>
      </w:pPr>
      <w:r>
        <w:t xml:space="preserve">The report comes as Chevron is pursuing several potential growth avenues:</w:t>
      </w:r>
    </w:p>
    <w:p>
      <w:pPr>
        <w:pStyle w:val="Compact"/>
        <w:numPr>
          <w:ilvl w:val="0"/>
          <w:numId w:val="1005"/>
        </w:numPr>
      </w:pPr>
      <w:r>
        <w:t xml:space="preserve">Further development opportunities in</w:t>
      </w:r>
      <w:r>
        <w:t xml:space="preserve"> </w:t>
      </w:r>
      <w:r>
        <w:rPr>
          <w:b/>
          <w:bCs/>
        </w:rPr>
        <w:t xml:space="preserve">Venezuela</w:t>
      </w:r>
    </w:p>
    <w:p>
      <w:pPr>
        <w:pStyle w:val="Compact"/>
        <w:numPr>
          <w:ilvl w:val="0"/>
          <w:numId w:val="1005"/>
        </w:numPr>
      </w:pPr>
      <w:r>
        <w:t xml:space="preserve">Potential entry or expansion in</w:t>
      </w:r>
      <w:r>
        <w:t xml:space="preserve"> </w:t>
      </w:r>
      <w:r>
        <w:rPr>
          <w:b/>
          <w:bCs/>
        </w:rPr>
        <w:t xml:space="preserve">Iraq</w:t>
      </w:r>
      <w:r>
        <w:t xml:space="preserve">, Libya, and other international resource positions</w:t>
      </w:r>
    </w:p>
    <w:p>
      <w:pPr>
        <w:pStyle w:val="Compact"/>
        <w:numPr>
          <w:ilvl w:val="0"/>
          <w:numId w:val="1005"/>
        </w:numPr>
      </w:pPr>
      <w:r>
        <w:t xml:space="preserve">Continued development of</w:t>
      </w:r>
      <w:r>
        <w:t xml:space="preserve"> </w:t>
      </w:r>
      <w:r>
        <w:rPr>
          <w:b/>
          <w:bCs/>
        </w:rPr>
        <w:t xml:space="preserve">Argentina</w:t>
      </w:r>
    </w:p>
    <w:p>
      <w:pPr>
        <w:pStyle w:val="Compact"/>
        <w:numPr>
          <w:ilvl w:val="0"/>
          <w:numId w:val="1005"/>
        </w:numPr>
      </w:pPr>
      <w:r>
        <w:t xml:space="preserve">Incremental LNG and gas-marketing optionality</w:t>
      </w:r>
    </w:p>
    <w:p>
      <w:pPr>
        <w:pStyle w:val="Compact"/>
        <w:numPr>
          <w:ilvl w:val="0"/>
          <w:numId w:val="1005"/>
        </w:numPr>
      </w:pPr>
      <w:r>
        <w:t xml:space="preserve">A proposed West Texas gas-fired power project for AI/data-center demand, initially contemplated at</w:t>
      </w:r>
      <w:r>
        <w:t xml:space="preserve"> </w:t>
      </w:r>
      <w:r>
        <w:rPr>
          <w:b/>
          <w:bCs/>
        </w:rPr>
        <w:t xml:space="preserve">2.5 GW</w:t>
      </w:r>
      <w:r>
        <w:t xml:space="preserve"> </w:t>
      </w:r>
      <w:r>
        <w:t xml:space="preserve">and potentially expandable to 5 GW</w:t>
      </w:r>
    </w:p>
    <w:p>
      <w:pPr>
        <w:pStyle w:val="FirstParagraph"/>
      </w:pPr>
      <w:r>
        <w:t xml:space="preserve">The market will likely reward Chevron if management communicates a clear hierarchy:</w:t>
      </w:r>
    </w:p>
    <w:p>
      <w:pPr>
        <w:pStyle w:val="Compact"/>
        <w:numPr>
          <w:ilvl w:val="0"/>
          <w:numId w:val="1006"/>
        </w:numPr>
      </w:pPr>
      <w:r>
        <w:t xml:space="preserve">Grow the dividend</w:t>
      </w:r>
    </w:p>
    <w:p>
      <w:pPr>
        <w:pStyle w:val="Compact"/>
        <w:numPr>
          <w:ilvl w:val="0"/>
          <w:numId w:val="1006"/>
        </w:numPr>
      </w:pPr>
      <w:r>
        <w:t xml:space="preserve">Maintain disciplined capital spending</w:t>
      </w:r>
    </w:p>
    <w:p>
      <w:pPr>
        <w:pStyle w:val="Compact"/>
        <w:numPr>
          <w:ilvl w:val="0"/>
          <w:numId w:val="1006"/>
        </w:numPr>
      </w:pPr>
      <w:r>
        <w:t xml:space="preserve">Protect the balance sheet</w:t>
      </w:r>
    </w:p>
    <w:p>
      <w:pPr>
        <w:pStyle w:val="Compact"/>
        <w:numPr>
          <w:ilvl w:val="0"/>
          <w:numId w:val="1006"/>
        </w:numPr>
      </w:pPr>
      <w:r>
        <w:t xml:space="preserve">Continue steady buybacks</w:t>
      </w:r>
    </w:p>
    <w:p>
      <w:pPr>
        <w:pStyle w:val="Compact"/>
        <w:numPr>
          <w:ilvl w:val="0"/>
          <w:numId w:val="1006"/>
        </w:numPr>
      </w:pPr>
      <w:r>
        <w:t xml:space="preserve">Fund only high-return growth projects</w:t>
      </w:r>
    </w:p>
    <w:p>
      <w:pPr>
        <w:pStyle w:val="FirstParagraph"/>
      </w:pPr>
      <w:r>
        <w:t xml:space="preserve">The risk is that elevated oil prices encourage an overly ambitious spending posture. Chevron’s advantage has been its stated willingness to preserve capital discipline even in a stronger commodity environment.</w:t>
      </w:r>
    </w:p>
    <w:p>
      <w:r>
        <w:pict>
          <v:rect style="width:0;height:1.5pt" o:hralign="center" o:hrstd="t" o:hr="t"/>
        </w:pict>
      </w:r>
    </w:p>
    <w:bookmarkEnd w:id="16"/>
    <w:bookmarkStart w:id="18" w:name="what-matters-most-on-the-call"/>
    <w:p>
      <w:pPr>
        <w:pStyle w:val="Heading2"/>
      </w:pPr>
      <w:r>
        <w:t xml:space="preserve">What matters most on the call</w:t>
      </w:r>
    </w:p>
    <w:bookmarkStart w:id="17" w:name="questions-investors-should-listen-for"/>
    <w:p>
      <w:pPr>
        <w:pStyle w:val="Heading3"/>
      </w:pPr>
      <w:r>
        <w:t xml:space="preserve">Questions investors should listen for</w:t>
      </w:r>
    </w:p>
    <w:p>
      <w:pPr>
        <w:numPr>
          <w:ilvl w:val="0"/>
          <w:numId w:val="1007"/>
        </w:numPr>
      </w:pPr>
      <w:r>
        <w:rPr>
          <w:b/>
          <w:bCs/>
        </w:rPr>
        <w:t xml:space="preserve">How much of the 1Q timing headwind reversed in 2Q?</w:t>
      </w:r>
      <w:r>
        <w:br/>
      </w:r>
      <w:r>
        <w:t xml:space="preserve">This is likely the biggest determinant of reported earnings quality.</w:t>
      </w:r>
    </w:p>
    <w:p>
      <w:pPr>
        <w:numPr>
          <w:ilvl w:val="0"/>
          <w:numId w:val="1007"/>
        </w:numPr>
      </w:pPr>
      <w:r>
        <w:rPr>
          <w:b/>
          <w:bCs/>
        </w:rPr>
        <w:t xml:space="preserve">Did Chevron maintain its 7%–10% full-year production-growth outlook?</w:t>
      </w:r>
      <w:r>
        <w:br/>
      </w:r>
      <w:r>
        <w:t xml:space="preserve">Any change would be meaningful given the importance of Hess, TCO, Gulf of America, and Permian performance.</w:t>
      </w:r>
    </w:p>
    <w:p>
      <w:pPr>
        <w:numPr>
          <w:ilvl w:val="0"/>
          <w:numId w:val="1007"/>
        </w:numPr>
      </w:pPr>
      <w:r>
        <w:rPr>
          <w:b/>
          <w:bCs/>
        </w:rPr>
        <w:t xml:space="preserve">What is the current run rate at TCO?</w:t>
      </w:r>
      <w:r>
        <w:br/>
      </w:r>
      <w:r>
        <w:t xml:space="preserve">TCO is a major cash generator, and higher sustained throughput would improve the company’s 2026–27 outlook.</w:t>
      </w:r>
    </w:p>
    <w:p>
      <w:pPr>
        <w:numPr>
          <w:ilvl w:val="0"/>
          <w:numId w:val="1007"/>
        </w:numPr>
      </w:pPr>
      <w:r>
        <w:rPr>
          <w:b/>
          <w:bCs/>
        </w:rPr>
        <w:t xml:space="preserve">How much value did integrated refining and equity-crude optimization capture?</w:t>
      </w:r>
      <w:r>
        <w:br/>
      </w:r>
      <w:r>
        <w:t xml:space="preserve">This is a key differentiator in a disrupted physical market.</w:t>
      </w:r>
    </w:p>
    <w:p>
      <w:pPr>
        <w:numPr>
          <w:ilvl w:val="0"/>
          <w:numId w:val="1007"/>
        </w:numPr>
      </w:pPr>
      <w:r>
        <w:rPr>
          <w:b/>
          <w:bCs/>
        </w:rPr>
        <w:t xml:space="preserve">Does the company reiterate capex and buyback guidance?</w:t>
      </w:r>
      <w:r>
        <w:br/>
      </w:r>
      <w:r>
        <w:t xml:space="preserve">A reiteration would be the clearest sign of discipline.</w:t>
      </w:r>
    </w:p>
    <w:p>
      <w:pPr>
        <w:numPr>
          <w:ilvl w:val="0"/>
          <w:numId w:val="1007"/>
        </w:numPr>
      </w:pPr>
      <w:r>
        <w:rPr>
          <w:b/>
          <w:bCs/>
        </w:rPr>
        <w:t xml:space="preserve">Are Hess synergy targets still achievable—or potentially conservative?</w:t>
      </w:r>
      <w:r>
        <w:br/>
      </w:r>
      <w:r>
        <w:t xml:space="preserve">The company has already raised the target once; continued outperformance would strengthen the multi-year thesis.</w:t>
      </w:r>
    </w:p>
    <w:p>
      <w:pPr>
        <w:numPr>
          <w:ilvl w:val="0"/>
          <w:numId w:val="1007"/>
        </w:numPr>
      </w:pPr>
      <w:r>
        <w:rPr>
          <w:b/>
          <w:bCs/>
        </w:rPr>
        <w:t xml:space="preserve">What is the updated timeline for the West Texas power project?</w:t>
      </w:r>
      <w:r>
        <w:br/>
      </w:r>
      <w:r>
        <w:t xml:space="preserve">Investors will want clarity on customer contracting, final investment decision timing, capital intensity, project financing, and targeted returns.</w:t>
      </w:r>
    </w:p>
    <w:p>
      <w:pPr>
        <w:numPr>
          <w:ilvl w:val="0"/>
          <w:numId w:val="1007"/>
        </w:numPr>
      </w:pPr>
      <w:r>
        <w:rPr>
          <w:b/>
          <w:bCs/>
        </w:rPr>
        <w:t xml:space="preserve">How is Chevron managing geopolitical and physical-supply risk?</w:t>
      </w:r>
      <w:r>
        <w:br/>
      </w:r>
      <w:r>
        <w:t xml:space="preserve">The company’s direct Middle East production exposure is limited, but the broader risk lies in shipping disruptions, commodity volatility, customer supply obligations, and policy responses.</w:t>
      </w:r>
    </w:p>
    <w:p>
      <w:r>
        <w:pict>
          <v:rect style="width:0;height:1.5pt" o:hralign="center" o:hrstd="t" o:hr="t"/>
        </w:pict>
      </w:r>
    </w:p>
    <w:bookmarkEnd w:id="17"/>
    <w:bookmarkEnd w:id="18"/>
    <w:bookmarkStart w:id="19" w:name="bull-case"/>
    <w:p>
      <w:pPr>
        <w:pStyle w:val="Heading2"/>
      </w:pPr>
      <w:r>
        <w:t xml:space="preserve">Bull case</w:t>
      </w:r>
    </w:p>
    <w:p>
      <w:pPr>
        <w:pStyle w:val="FirstParagraph"/>
      </w:pPr>
      <w:r>
        <w:t xml:space="preserve">A bullish 2Q print would feature:</w:t>
      </w:r>
    </w:p>
    <w:p>
      <w:pPr>
        <w:pStyle w:val="Compact"/>
        <w:numPr>
          <w:ilvl w:val="0"/>
          <w:numId w:val="1008"/>
        </w:numPr>
      </w:pPr>
      <w:r>
        <w:t xml:space="preserve">A large reversal of 1Q timing impacts</w:t>
      </w:r>
    </w:p>
    <w:p>
      <w:pPr>
        <w:pStyle w:val="Compact"/>
        <w:numPr>
          <w:ilvl w:val="0"/>
          <w:numId w:val="1008"/>
        </w:numPr>
      </w:pPr>
      <w:r>
        <w:t xml:space="preserve">Production above 1Q and confidence in full-year growth guidance</w:t>
      </w:r>
    </w:p>
    <w:p>
      <w:pPr>
        <w:pStyle w:val="Compact"/>
        <w:numPr>
          <w:ilvl w:val="0"/>
          <w:numId w:val="1008"/>
        </w:numPr>
      </w:pPr>
      <w:r>
        <w:t xml:space="preserve">Strong TCO, U.S. upstream, LNG, and refinery operating performance</w:t>
      </w:r>
    </w:p>
    <w:p>
      <w:pPr>
        <w:pStyle w:val="Compact"/>
        <w:numPr>
          <w:ilvl w:val="0"/>
          <w:numId w:val="1008"/>
        </w:numPr>
      </w:pPr>
      <w:r>
        <w:t xml:space="preserve">Better-than-expected downstream and chemicals profitability</w:t>
      </w:r>
    </w:p>
    <w:p>
      <w:pPr>
        <w:pStyle w:val="Compact"/>
        <w:numPr>
          <w:ilvl w:val="0"/>
          <w:numId w:val="1008"/>
        </w:numPr>
      </w:pPr>
      <w:r>
        <w:t xml:space="preserve">Strong operating cash flow with a manageable working-capital burden</w:t>
      </w:r>
    </w:p>
    <w:p>
      <w:pPr>
        <w:pStyle w:val="Compact"/>
        <w:numPr>
          <w:ilvl w:val="0"/>
          <w:numId w:val="1008"/>
        </w:numPr>
      </w:pPr>
      <w:r>
        <w:t xml:space="preserve">Reaffirmed capex and buyback guidance</w:t>
      </w:r>
    </w:p>
    <w:p>
      <w:pPr>
        <w:pStyle w:val="Compact"/>
        <w:numPr>
          <w:ilvl w:val="0"/>
          <w:numId w:val="1008"/>
        </w:numPr>
      </w:pPr>
      <w:r>
        <w:t xml:space="preserve">Hess synergy delivery ahead of expectations</w:t>
      </w:r>
    </w:p>
    <w:p>
      <w:pPr>
        <w:pStyle w:val="Compact"/>
        <w:numPr>
          <w:ilvl w:val="0"/>
          <w:numId w:val="1008"/>
        </w:numPr>
      </w:pPr>
      <w:r>
        <w:t xml:space="preserve">Constructive but disciplined commentary on Venezuela, Iraq, Argentina, and AI-power opportunities</w:t>
      </w:r>
    </w:p>
    <w:p>
      <w:pPr>
        <w:pStyle w:val="FirstParagraph"/>
      </w:pPr>
      <w:r>
        <w:t xml:space="preserve">In that outcome, the narrative shifts from “Chevron benefits from higher oil” to</w:t>
      </w:r>
      <w:r>
        <w:t xml:space="preserve"> </w:t>
      </w:r>
      <w:r>
        <w:rPr>
          <w:b/>
          <w:bCs/>
        </w:rPr>
        <w:t xml:space="preserve">“Chevron can compound cash flow while retaining capital discipline.”</w:t>
      </w:r>
    </w:p>
    <w:p>
      <w:r>
        <w:pict>
          <v:rect style="width:0;height:1.5pt" o:hralign="center" o:hrstd="t" o:hr="t"/>
        </w:pict>
      </w:r>
    </w:p>
    <w:bookmarkEnd w:id="19"/>
    <w:bookmarkStart w:id="20" w:name="bear-case"/>
    <w:p>
      <w:pPr>
        <w:pStyle w:val="Heading2"/>
      </w:pPr>
      <w:r>
        <w:t xml:space="preserve">Bear case</w:t>
      </w:r>
    </w:p>
    <w:p>
      <w:pPr>
        <w:pStyle w:val="FirstParagraph"/>
      </w:pPr>
      <w:r>
        <w:t xml:space="preserve">The main risks into the print are:</w:t>
      </w:r>
    </w:p>
    <w:p>
      <w:pPr>
        <w:pStyle w:val="Compact"/>
        <w:numPr>
          <w:ilvl w:val="0"/>
          <w:numId w:val="1009"/>
        </w:numPr>
      </w:pPr>
      <w:r>
        <w:t xml:space="preserve">Timing effects remain a drag and dilute the benefit of better commodity conditions</w:t>
      </w:r>
    </w:p>
    <w:p>
      <w:pPr>
        <w:pStyle w:val="Compact"/>
        <w:numPr>
          <w:ilvl w:val="0"/>
          <w:numId w:val="1009"/>
        </w:numPr>
      </w:pPr>
      <w:r>
        <w:t xml:space="preserve">Production misses because of outages, curtailments, liftings, or asset-level reliability issues</w:t>
      </w:r>
    </w:p>
    <w:p>
      <w:pPr>
        <w:pStyle w:val="Compact"/>
        <w:numPr>
          <w:ilvl w:val="0"/>
          <w:numId w:val="1009"/>
        </w:numPr>
      </w:pPr>
      <w:r>
        <w:t xml:space="preserve">Downstream results disappoint despite high benchmark margins</w:t>
      </w:r>
    </w:p>
    <w:p>
      <w:pPr>
        <w:pStyle w:val="Compact"/>
        <w:numPr>
          <w:ilvl w:val="0"/>
          <w:numId w:val="1009"/>
        </w:numPr>
      </w:pPr>
      <w:r>
        <w:t xml:space="preserve">Working capital consumes more cash than expected</w:t>
      </w:r>
    </w:p>
    <w:p>
      <w:pPr>
        <w:pStyle w:val="Compact"/>
        <w:numPr>
          <w:ilvl w:val="0"/>
          <w:numId w:val="1009"/>
        </w:numPr>
      </w:pPr>
      <w:r>
        <w:t xml:space="preserve">Management increases capex or signals a more aggressive growth-spending posture</w:t>
      </w:r>
    </w:p>
    <w:p>
      <w:pPr>
        <w:pStyle w:val="Compact"/>
        <w:numPr>
          <w:ilvl w:val="0"/>
          <w:numId w:val="1009"/>
        </w:numPr>
      </w:pPr>
      <w:r>
        <w:t xml:space="preserve">Geopolitical disruptions create logistical or supply-chain issues rather than simply higher realizations</w:t>
      </w:r>
    </w:p>
    <w:p>
      <w:pPr>
        <w:pStyle w:val="Compact"/>
        <w:numPr>
          <w:ilvl w:val="0"/>
          <w:numId w:val="1009"/>
        </w:numPr>
      </w:pPr>
      <w:r>
        <w:t xml:space="preserve">The stock’s July rally leaves little tolerance for a merely in-line quarter</w:t>
      </w:r>
    </w:p>
    <w:p>
      <w:pPr>
        <w:pStyle w:val="FirstParagraph"/>
      </w:pPr>
      <w:r>
        <w:t xml:space="preserve">A particularly negative outcome would be a strong reported quarter paired with weaker-than-expected cash conversion or more aggressive capital ambitions.</w:t>
      </w:r>
    </w:p>
    <w:p>
      <w:r>
        <w:pict>
          <v:rect style="width:0;height:1.5pt" o:hralign="center" o:hrstd="t" o:hr="t"/>
        </w:pict>
      </w:r>
    </w:p>
    <w:bookmarkEnd w:id="20"/>
    <w:bookmarkStart w:id="22" w:name="bottom-line"/>
    <w:p>
      <w:pPr>
        <w:pStyle w:val="Heading2"/>
      </w:pPr>
      <w:r>
        <w:t xml:space="preserve">Bottom line</w:t>
      </w:r>
    </w:p>
    <w:p>
      <w:pPr>
        <w:pStyle w:val="FirstParagraph"/>
      </w:pPr>
      <w:r>
        <w:t xml:space="preserve">Chevron appears positioned for a materially stronger 2Q26 than its headline 1Q results implied. The expected unwind of prior-quarter timing effects, higher production from Hess-related assets and major legacy projects, high refinery utilization, and improved integrated value capture should all be supportive.</w:t>
      </w:r>
    </w:p>
    <w:p>
      <w:pPr>
        <w:pStyle w:val="BodyText"/>
      </w:pPr>
      <w:r>
        <w:t xml:space="preserve">However, the investment debate has moved beyond the quarter. With CVX already sharply higher in July, the stock’s reaction is likely to depend on whether management demonstrates that current cash flow can be converted into</w:t>
      </w:r>
      <w:r>
        <w:t xml:space="preserve"> </w:t>
      </w:r>
      <w:r>
        <w:rPr>
          <w:b/>
          <w:bCs/>
        </w:rPr>
        <w:t xml:space="preserve">durable returns, accelerated Hess synergies, and high-return growth—without compromising the company’s capital discipline</w:t>
      </w:r>
      <w:r>
        <w:t xml:space="preserve">.</w:t>
      </w:r>
    </w:p>
    <w:bookmarkStart w:id="21" w:name="research-materials-reviewed"/>
    <w:p>
      <w:pPr>
        <w:pStyle w:val="Heading3"/>
      </w:pPr>
      <w:r>
        <w:t xml:space="preserve">Research materials reviewed</w:t>
      </w:r>
    </w:p>
    <w:p>
      <w:pPr>
        <w:pStyle w:val="Compact"/>
        <w:numPr>
          <w:ilvl w:val="0"/>
          <w:numId w:val="1010"/>
        </w:numPr>
      </w:pPr>
      <w:r>
        <w:t xml:space="preserve">Chevron 1Q26 earnings release and financial attachments</w:t>
      </w:r>
    </w:p>
    <w:p>
      <w:pPr>
        <w:pStyle w:val="Compact"/>
        <w:numPr>
          <w:ilvl w:val="0"/>
          <w:numId w:val="1010"/>
        </w:numPr>
      </w:pPr>
      <w:r>
        <w:t xml:space="preserve">Chevron 1Q26 earnings-call transcript</w:t>
      </w:r>
    </w:p>
    <w:p>
      <w:pPr>
        <w:pStyle w:val="Compact"/>
        <w:numPr>
          <w:ilvl w:val="0"/>
          <w:numId w:val="1010"/>
        </w:numPr>
      </w:pPr>
      <w:r>
        <w:t xml:space="preserve">Chevron November 2025 Investor Day transcript</w:t>
      </w:r>
    </w:p>
    <w:p>
      <w:pPr>
        <w:pStyle w:val="Compact"/>
        <w:numPr>
          <w:ilvl w:val="0"/>
          <w:numId w:val="1010"/>
        </w:numPr>
      </w:pPr>
      <w:r>
        <w:t xml:space="preserve">Recent CVX and energy-market news through July 30, 2026</w:t>
      </w:r>
    </w:p>
    <w:p>
      <w:pPr>
        <w:pStyle w:val="Compact"/>
        <w:numPr>
          <w:ilvl w:val="0"/>
          <w:numId w:val="1010"/>
        </w:numPr>
      </w:pPr>
      <w:r>
        <w:t xml:space="preserve">CVX historical share-price data through July 30,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2026-07-31T00:34:04Z</dcterms:created>
  <dcterms:modified xsi:type="dcterms:W3CDTF">2026-07-31T00:34:04Z</dcterms:modified>
</cp:coreProperties>
</file>

<file path=docProps/custom.xml><?xml version="1.0" encoding="utf-8"?>
<Properties xmlns="http://schemas.openxmlformats.org/officeDocument/2006/custom-properties" xmlns:vt="http://schemas.openxmlformats.org/officeDocument/2006/docPropsVTypes"/>
</file>