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Chevron Corporation (CVX) — Q2 2026 Earnings Preview</w:t>
      </w:r>
    </w:p>
    <w:p>
      <w:r>
        <w:rPr>
          <w:rFonts w:ascii="Calibri" w:hAnsi="Calibri"/>
          <w:b/>
          <w:color w:val="525866"/>
          <w:sz w:val="22"/>
        </w:rPr>
        <w:t xml:space="preserve">Ticker: </w:t>
      </w:r>
      <w:r>
        <w:rPr>
          <w:rFonts w:ascii="Calibri" w:hAnsi="Calibri"/>
          <w:color w:val="525866"/>
          <w:sz w:val="22"/>
        </w:rPr>
        <w:t xml:space="preserve">CVX  </w:t>
      </w:r>
      <w:r>
        <w:rPr>
          <w:rFonts w:ascii="Calibri" w:hAnsi="Calibri"/>
          <w:b/>
          <w:color w:val="525866"/>
          <w:sz w:val="22"/>
        </w:rPr>
        <w:t xml:space="preserve">| Earnings Date: </w:t>
      </w:r>
      <w:r>
        <w:rPr>
          <w:rFonts w:ascii="Calibri" w:hAnsi="Calibri"/>
          <w:color w:val="525866"/>
          <w:sz w:val="22"/>
        </w:rPr>
        <w:t xml:space="preserve">July 31, 2026 (Before Market Open)  </w:t>
      </w:r>
      <w:r>
        <w:rPr>
          <w:rFonts w:ascii="Calibri" w:hAnsi="Calibri"/>
          <w:b/>
          <w:color w:val="525866"/>
          <w:sz w:val="22"/>
        </w:rPr>
        <w:t xml:space="preserve">| Prepared: </w:t>
      </w:r>
      <w:r>
        <w:rPr>
          <w:rFonts w:ascii="Calibri" w:hAnsi="Calibri"/>
          <w:color w:val="525866"/>
          <w:sz w:val="22"/>
        </w:rPr>
        <w:t>July 31, 2026</w:t>
      </w:r>
    </w:p>
    <w:p>
      <w:r>
        <w:rPr>
          <w:rFonts w:ascii="Calibri" w:hAnsi="Calibri"/>
          <w:b/>
          <w:color w:val="525866"/>
          <w:sz w:val="22"/>
        </w:rPr>
        <w:t xml:space="preserve">Reporting Period: </w:t>
      </w:r>
      <w:r>
        <w:rPr>
          <w:rFonts w:ascii="Calibri" w:hAnsi="Calibri"/>
          <w:color w:val="525866"/>
          <w:sz w:val="22"/>
        </w:rPr>
        <w:t xml:space="preserve">Q2 2026 (quarter ended June 30, 2026)  </w:t>
      </w:r>
      <w:r>
        <w:rPr>
          <w:rFonts w:ascii="Calibri" w:hAnsi="Calibri"/>
          <w:b/>
          <w:color w:val="525866"/>
          <w:sz w:val="22"/>
        </w:rPr>
        <w:t xml:space="preserve">| Sector ETF Benchmark: </w:t>
      </w:r>
      <w:r>
        <w:rPr>
          <w:rFonts w:ascii="Calibri" w:hAnsi="Calibri"/>
          <w:color w:val="525866"/>
          <w:sz w:val="22"/>
        </w:rPr>
        <w:t>XLE (Energy Select Sector SPDR)</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b/>
          <w:color w:val="525866"/>
          <w:sz w:val="22"/>
        </w:rPr>
        <w:t xml:space="preserve">Setup leans toward a beat — consensus has been revised down sharply since Q1 earnings, oil prices averaged well above the $70 Brent guidance assumption through much of Q2, and management's own commentary pointed to higher production, unwinding of ~$1B in paper derivative positions, and continued downstream integration value capture; the biggest swing factor is </w:t>
      </w:r>
      <w:r>
        <w:rPr>
          <w:rFonts w:ascii="Calibri" w:hAnsi="Calibri"/>
          <w:b/>
          <w:color w:val="525866"/>
          <w:sz w:val="22"/>
          <w:u w:val="single"/>
        </w:rPr>
        <w:t>free cash flow quality</w:t>
      </w:r>
      <w:r>
        <w:rPr>
          <w:rFonts w:ascii="Calibri" w:hAnsi="Calibri"/>
          <w:b/>
          <w:color w:val="525866"/>
          <w:sz w:val="22"/>
        </w:rPr>
        <w:t xml:space="preserve"> after Q1's negative reported FCF spooked the market.</w:t>
      </w:r>
    </w:p>
    <w:p>
      <w:r>
        <w:rPr>
          <w:rFonts w:ascii="Calibri" w:hAnsi="Calibri"/>
          <w:color w:val="525866"/>
          <w:sz w:val="22"/>
        </w:rPr>
        <w:t xml:space="preserve">Heading into Q2 2026, the bar for CVX looks manageable: consensus operating EPS of ~$5.65 is up sharply from Q1's $1.41 actual (reflecting the full-quarter benefit of higher oil prices and the unwinding of ~$1 billion in paper derivative positions that management flagged on the Q1 call), yet the as-of-May-6 baseline was only $4.90, meaning estimates have been revised up ~15% since the last print — a trajectory that typically signals the street is chasing rather than getting ahead of the company. </w:t>
      </w:r>
      <w:r>
        <w:rPr>
          <w:rFonts w:ascii="Calibri" w:hAnsi="Calibri"/>
          <w:b/>
          <w:color w:val="525866"/>
          <w:sz w:val="22"/>
        </w:rPr>
        <w:t>Management's tone at both the Bernstein (May 28) and JP Morgan (June 23) conferences was notably confident</w:t>
      </w:r>
      <w:r>
        <w:rPr>
          <w:rFonts w:ascii="Calibri" w:hAnsi="Calibri"/>
          <w:color w:val="525866"/>
          <w:sz w:val="22"/>
        </w:rPr>
        <w:t xml:space="preserve">: WTI was at $89/bbl at Bernstein, management guided to "more upward pressure" on physical prices into June and July as inventory buffers were drawn down, and the Microsoft West Texas power project FID was framed as a pre-year-end catalyst. The stock has underperformed both XLE (+0.2%) and the S&amp;P 500 (+2.9%) since Q1 earnings, returning only +0.9% on a base of 100, with a sharp mid-June selloff (CVX touched ~$165 on June 30) before recovering to ~$192 — suggesting the market has not yet priced in a clean beat. The wildcard is </w:t>
      </w:r>
      <w:r>
        <w:rPr>
          <w:rFonts w:ascii="Calibri" w:hAnsi="Calibri"/>
          <w:b/>
          <w:color w:val="525866"/>
          <w:sz w:val="22"/>
        </w:rPr>
        <w:t>reported free cash flow</w:t>
      </w:r>
      <w:r>
        <w:rPr>
          <w:rFonts w:ascii="Calibri" w:hAnsi="Calibri"/>
          <w:color w:val="525866"/>
          <w:sz w:val="22"/>
        </w:rPr>
        <w:t>: Q1's negative FCF print (driven by working capital timing) was the primary source of post-earnings disappointment, and any repeat of that dynamic — even if adjusted FCF is strong — risks a muted or negative stock reaction despite solid underlying results.</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b/>
          <w:color w:val="525866"/>
          <w:sz w:val="22"/>
        </w:rPr>
        <w:t xml:space="preserve">Consensus is a </w:t>
      </w:r>
      <w:r>
        <w:rPr>
          <w:rFonts w:ascii="Calibri" w:hAnsi="Calibri"/>
          <w:b/>
          <w:color w:val="525866"/>
          <w:sz w:val="22"/>
        </w:rPr>
        <w:t>low-to-moderate bar</w:t>
      </w:r>
      <w:r>
        <w:rPr>
          <w:rFonts w:ascii="Calibri" w:hAnsi="Calibri"/>
          <w:b/>
          <w:color w:val="525866"/>
          <w:sz w:val="22"/>
        </w:rPr>
        <w:t xml:space="preserve"> heading into Q2 — estimates have been revised up ~15% since the Q1 print on higher oil prices, but remain well below what elevated Brent/WTI through much of the quarter could deliver; </w:t>
      </w:r>
      <w:r>
        <w:rPr>
          <w:rFonts w:ascii="Calibri" w:hAnsi="Calibri"/>
          <w:b/>
          <w:color w:val="525866"/>
          <w:sz w:val="22"/>
          <w:u w:val="single"/>
        </w:rPr>
        <w:t>free cash flow</w:t>
      </w:r>
      <w:r>
        <w:rPr>
          <w:rFonts w:ascii="Calibri" w:hAnsi="Calibri"/>
          <w:b/>
          <w:color w:val="525866"/>
          <w:sz w:val="22"/>
        </w:rPr>
        <w:t xml:space="preserve"> is the bigger swing factor given Q1's negative reported FCF and management's explicit guidance for the ~$1B paper position unwind to benefit Q2.</w:t>
      </w:r>
    </w:p>
    <w:p>
      <w:r>
        <w:rPr>
          <w:rFonts w:ascii="Calibri" w:hAnsi="Calibri"/>
          <w:b/>
          <w:color w:val="525866"/>
          <w:sz w:val="22"/>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Adj. EPS (Diluted Operating) ($)</w:t>
            </w:r>
          </w:p>
        </w:tc>
        <w:tc>
          <w:tcPr>
            <w:tcW w:type="dxa" w:w="1234"/>
          </w:tcPr>
          <w:p>
            <w:r>
              <w:rPr>
                <w:rFonts w:ascii="Calibri" w:hAnsi="Calibri"/>
                <w:sz w:val="22"/>
              </w:rPr>
              <w:t>$1.41</w:t>
            </w:r>
          </w:p>
        </w:tc>
        <w:tc>
          <w:tcPr>
            <w:tcW w:type="dxa" w:w="1234"/>
          </w:tcPr>
          <w:p>
            <w:r>
              <w:rPr>
                <w:rFonts w:ascii="Calibri" w:hAnsi="Calibri"/>
                <w:sz w:val="22"/>
              </w:rPr>
              <w:t>$1.77</w:t>
            </w:r>
          </w:p>
        </w:tc>
        <w:tc>
          <w:tcPr>
            <w:tcW w:type="dxa" w:w="1234"/>
          </w:tcPr>
          <w:p>
            <w:r>
              <w:rPr>
                <w:rFonts w:ascii="Calibri" w:hAnsi="Calibri"/>
                <w:sz w:val="22"/>
              </w:rPr>
              <w:t>$5.65</w:t>
            </w:r>
          </w:p>
        </w:tc>
        <w:tc>
          <w:tcPr>
            <w:tcW w:type="dxa" w:w="1234"/>
          </w:tcPr>
          <w:p>
            <w:r>
              <w:rPr>
                <w:rFonts w:ascii="Calibri" w:hAnsi="Calibri"/>
                <w:b/>
                <w:color w:val="30A46C"/>
                <w:sz w:val="22"/>
              </w:rPr>
              <w:t>+219% YoY</w:t>
            </w:r>
          </w:p>
        </w:tc>
        <w:tc>
          <w:tcPr>
            <w:tcW w:type="dxa" w:w="1234"/>
          </w:tcPr>
          <w:p>
            <w:r>
              <w:rPr>
                <w:rFonts w:ascii="Calibri" w:hAnsi="Calibri"/>
                <w:sz w:val="22"/>
              </w:rPr>
              <w:t>No specific Q2 EPS guidance; FY2026 FCF guided at $6B at $70 Brent</w:t>
            </w:r>
          </w:p>
        </w:tc>
        <w:tc>
          <w:tcPr>
            <w:tcW w:type="dxa" w:w="1234"/>
          </w:tcPr>
          <w:p>
            <w:r>
              <w:rPr>
                <w:rFonts w:ascii="Calibri" w:hAnsi="Calibri"/>
                <w:sz w:val="22"/>
              </w:rPr>
              <w:t>N/A (no quarterly EPS guidance)</w:t>
            </w:r>
          </w:p>
        </w:tc>
      </w:tr>
      <w:tr>
        <w:tc>
          <w:tcPr>
            <w:tcW w:type="dxa" w:w="1234"/>
          </w:tcPr>
          <w:p>
            <w:r>
              <w:rPr>
                <w:rFonts w:ascii="Calibri" w:hAnsi="Calibri"/>
                <w:sz w:val="22"/>
              </w:rPr>
              <w:t>Revenue — Sales &amp; Other Operating ($B)</w:t>
            </w:r>
          </w:p>
        </w:tc>
        <w:tc>
          <w:tcPr>
            <w:tcW w:type="dxa" w:w="1234"/>
          </w:tcPr>
          <w:p>
            <w:r>
              <w:rPr>
                <w:rFonts w:ascii="Calibri" w:hAnsi="Calibri"/>
                <w:sz w:val="22"/>
              </w:rPr>
              <w:t>$47.6B</w:t>
            </w:r>
          </w:p>
        </w:tc>
        <w:tc>
          <w:tcPr>
            <w:tcW w:type="dxa" w:w="1234"/>
          </w:tcPr>
          <w:p>
            <w:r>
              <w:rPr>
                <w:rFonts w:ascii="Calibri" w:hAnsi="Calibri"/>
                <w:sz w:val="22"/>
              </w:rPr>
              <w:t>$44.4B</w:t>
            </w:r>
          </w:p>
        </w:tc>
        <w:tc>
          <w:tcPr>
            <w:tcW w:type="dxa" w:w="1234"/>
          </w:tcPr>
          <w:p>
            <w:r>
              <w:rPr>
                <w:rFonts w:ascii="Calibri" w:hAnsi="Calibri"/>
                <w:sz w:val="22"/>
              </w:rPr>
              <w:t>$55.1B</w:t>
            </w:r>
          </w:p>
        </w:tc>
        <w:tc>
          <w:tcPr>
            <w:tcW w:type="dxa" w:w="1234"/>
          </w:tcPr>
          <w:p>
            <w:r>
              <w:rPr>
                <w:rFonts w:ascii="Calibri" w:hAnsi="Calibri"/>
                <w:b/>
                <w:color w:val="30A46C"/>
                <w:sz w:val="22"/>
              </w:rPr>
              <w:t>+24% YoY</w:t>
            </w:r>
          </w:p>
        </w:tc>
        <w:tc>
          <w:tcPr>
            <w:tcW w:type="dxa" w:w="1234"/>
          </w:tcPr>
          <w:p>
            <w:r>
              <w:rPr>
                <w:rFonts w:ascii="Calibri" w:hAnsi="Calibri"/>
                <w:sz w:val="22"/>
              </w:rPr>
              <w:t>No specific quarterly revenue guidance</w:t>
            </w:r>
          </w:p>
        </w:tc>
        <w:tc>
          <w:tcPr>
            <w:tcW w:type="dxa" w:w="1234"/>
          </w:tcPr>
          <w:p>
            <w:r>
              <w:rPr>
                <w:rFonts w:ascii="Calibri" w:hAnsi="Calibri"/>
                <w:sz w:val="22"/>
              </w:rPr>
              <w:t>N/A</w:t>
            </w:r>
          </w:p>
        </w:tc>
      </w:tr>
      <w:tr>
        <w:tc>
          <w:tcPr>
            <w:tcW w:type="dxa" w:w="1234"/>
          </w:tcPr>
          <w:p>
            <w:r>
              <w:rPr>
                <w:rFonts w:ascii="Calibri" w:hAnsi="Calibri"/>
                <w:sz w:val="22"/>
              </w:rPr>
              <w:t>Free Cash Flow ($B)</w:t>
            </w:r>
          </w:p>
        </w:tc>
        <w:tc>
          <w:tcPr>
            <w:tcW w:type="dxa" w:w="1234"/>
          </w:tcPr>
          <w:p>
            <w:r>
              <w:rPr>
                <w:rFonts w:ascii="Calibri" w:hAnsi="Calibri"/>
                <w:sz w:val="22"/>
              </w:rPr>
              <w:t>-$1.5B (reported); adj. positive</w:t>
            </w:r>
          </w:p>
        </w:tc>
        <w:tc>
          <w:tcPr>
            <w:tcW w:type="dxa" w:w="1234"/>
          </w:tcPr>
          <w:p>
            <w:r>
              <w:rPr>
                <w:rFonts w:ascii="Calibri" w:hAnsi="Calibri"/>
                <w:sz w:val="22"/>
              </w:rPr>
              <w:t>$4.9B</w:t>
            </w:r>
          </w:p>
        </w:tc>
        <w:tc>
          <w:tcPr>
            <w:tcW w:type="dxa" w:w="1234"/>
          </w:tcPr>
          <w:p>
            <w:r>
              <w:rPr>
                <w:rFonts w:ascii="Calibri" w:hAnsi="Calibri"/>
                <w:sz w:val="22"/>
              </w:rPr>
              <w:t>$14.8B</w:t>
            </w:r>
          </w:p>
        </w:tc>
        <w:tc>
          <w:tcPr>
            <w:tcW w:type="dxa" w:w="1234"/>
          </w:tcPr>
          <w:p>
            <w:r>
              <w:rPr>
                <w:rFonts w:ascii="Calibri" w:hAnsi="Calibri"/>
                <w:b/>
                <w:color w:val="30A46C"/>
                <w:sz w:val="22"/>
              </w:rPr>
              <w:t>+204% YoY</w:t>
            </w:r>
          </w:p>
        </w:tc>
        <w:tc>
          <w:tcPr>
            <w:tcW w:type="dxa" w:w="1234"/>
          </w:tcPr>
          <w:p>
            <w:r>
              <w:rPr>
                <w:rFonts w:ascii="Calibri" w:hAnsi="Calibri"/>
                <w:sz w:val="22"/>
              </w:rPr>
              <w:t>$6B FY2026 at $70 Brent (unchanged)</w:t>
            </w:r>
          </w:p>
        </w:tc>
        <w:tc>
          <w:tcPr>
            <w:tcW w:type="dxa" w:w="1234"/>
          </w:tcPr>
          <w:p>
            <w:r>
              <w:rPr>
                <w:rFonts w:ascii="Calibri" w:hAnsi="Calibri"/>
                <w:sz w:val="22"/>
              </w:rPr>
              <w:t>FY consensus $34.2B vs. $6B Q guidance (different basis)</w:t>
            </w:r>
          </w:p>
        </w:tc>
      </w:tr>
      <w:tr>
        <w:tc>
          <w:tcPr>
            <w:tcW w:type="dxa" w:w="1234"/>
          </w:tcPr>
          <w:p>
            <w:r>
              <w:rPr>
                <w:rFonts w:ascii="Calibri" w:hAnsi="Calibri"/>
                <w:sz w:val="22"/>
              </w:rPr>
              <w:t>Production — Worldwide (Mboe/d)</w:t>
            </w:r>
          </w:p>
        </w:tc>
        <w:tc>
          <w:tcPr>
            <w:tcW w:type="dxa" w:w="1234"/>
          </w:tcPr>
          <w:p>
            <w:r>
              <w:rPr>
                <w:rFonts w:ascii="Calibri" w:hAnsi="Calibri"/>
                <w:sz w:val="22"/>
              </w:rPr>
              <w:t>3,858.5 Mboe/d</w:t>
            </w:r>
          </w:p>
        </w:tc>
        <w:tc>
          <w:tcPr>
            <w:tcW w:type="dxa" w:w="1234"/>
          </w:tcPr>
          <w:p>
            <w:r>
              <w:rPr>
                <w:rFonts w:ascii="Calibri" w:hAnsi="Calibri"/>
                <w:sz w:val="22"/>
              </w:rPr>
              <w:t>3,395.2 Mboe/d</w:t>
            </w:r>
          </w:p>
        </w:tc>
        <w:tc>
          <w:tcPr>
            <w:tcW w:type="dxa" w:w="1234"/>
          </w:tcPr>
          <w:p>
            <w:r>
              <w:rPr>
                <w:rFonts w:ascii="Calibri" w:hAnsi="Calibri"/>
                <w:sz w:val="22"/>
              </w:rPr>
              <w:t>4,029.8 Mboe/d</w:t>
            </w:r>
          </w:p>
        </w:tc>
        <w:tc>
          <w:tcPr>
            <w:tcW w:type="dxa" w:w="1234"/>
          </w:tcPr>
          <w:p>
            <w:r>
              <w:rPr>
                <w:rFonts w:ascii="Calibri" w:hAnsi="Calibri"/>
                <w:b/>
                <w:color w:val="30A46C"/>
                <w:sz w:val="22"/>
              </w:rPr>
              <w:t>+19% YoY</w:t>
            </w:r>
          </w:p>
        </w:tc>
        <w:tc>
          <w:tcPr>
            <w:tcW w:type="dxa" w:w="1234"/>
          </w:tcPr>
          <w:p>
            <w:r>
              <w:rPr>
                <w:rFonts w:ascii="Calibri" w:hAnsi="Calibri"/>
                <w:sz w:val="22"/>
              </w:rPr>
              <w:t>FY2026 +7–10% YoY; Q2 expected higher than Q1</w:t>
            </w:r>
          </w:p>
        </w:tc>
        <w:tc>
          <w:tcPr>
            <w:tcW w:type="dxa" w:w="1234"/>
          </w:tcPr>
          <w:p>
            <w:r>
              <w:rPr>
                <w:rFonts w:ascii="Calibri" w:hAnsi="Calibri"/>
                <w:sz w:val="22"/>
              </w:rPr>
              <w:t>Consensus ~4,030 Mboe/d vs. implied guidance midpoint ~4,000 Mboe/d; ~+0.7% above</w:t>
            </w:r>
          </w:p>
        </w:tc>
      </w:tr>
      <w:tr>
        <w:tc>
          <w:tcPr>
            <w:tcW w:type="dxa" w:w="1234"/>
          </w:tcPr>
          <w:p>
            <w:r>
              <w:rPr>
                <w:rFonts w:ascii="Calibri" w:hAnsi="Calibri"/>
                <w:sz w:val="22"/>
              </w:rPr>
              <w:t>Capital Expenditure ($B)</w:t>
            </w:r>
          </w:p>
        </w:tc>
        <w:tc>
          <w:tcPr>
            <w:tcW w:type="dxa" w:w="1234"/>
          </w:tcPr>
          <w:p>
            <w:r>
              <w:rPr>
                <w:rFonts w:ascii="Calibri" w:hAnsi="Calibri"/>
                <w:sz w:val="22"/>
              </w:rPr>
              <w:t>$4.1B</w:t>
            </w:r>
          </w:p>
        </w:tc>
        <w:tc>
          <w:tcPr>
            <w:tcW w:type="dxa" w:w="1234"/>
          </w:tcPr>
          <w:p>
            <w:r>
              <w:rPr>
                <w:rFonts w:ascii="Calibri" w:hAnsi="Calibri"/>
                <w:sz w:val="22"/>
              </w:rPr>
              <w:t>$3.7B</w:t>
            </w:r>
          </w:p>
        </w:tc>
        <w:tc>
          <w:tcPr>
            <w:tcW w:type="dxa" w:w="1234"/>
          </w:tcPr>
          <w:p>
            <w:r>
              <w:rPr>
                <w:rFonts w:ascii="Calibri" w:hAnsi="Calibri"/>
                <w:sz w:val="22"/>
              </w:rPr>
              <w:t>$4.5B</w:t>
            </w:r>
          </w:p>
        </w:tc>
        <w:tc>
          <w:tcPr>
            <w:tcW w:type="dxa" w:w="1234"/>
          </w:tcPr>
          <w:p>
            <w:r>
              <w:rPr>
                <w:rFonts w:ascii="Calibri" w:hAnsi="Calibri"/>
                <w:b/>
                <w:color w:val="E5484D"/>
                <w:sz w:val="22"/>
              </w:rPr>
              <w:t>+22% YoY</w:t>
            </w:r>
          </w:p>
        </w:tc>
        <w:tc>
          <w:tcPr>
            <w:tcW w:type="dxa" w:w="1234"/>
          </w:tcPr>
          <w:p>
            <w:r>
              <w:rPr>
                <w:rFonts w:ascii="Calibri" w:hAnsi="Calibri"/>
                <w:sz w:val="22"/>
              </w:rPr>
              <w:t>$18–19B FY2026 (on track)</w:t>
            </w:r>
          </w:p>
        </w:tc>
        <w:tc>
          <w:tcPr>
            <w:tcW w:type="dxa" w:w="1234"/>
          </w:tcPr>
          <w:p>
            <w:r>
              <w:rPr>
                <w:rFonts w:ascii="Calibri" w:hAnsi="Calibri"/>
                <w:sz w:val="22"/>
              </w:rPr>
              <w:t>FY consensus $18.1B vs. $18–19B guidance; within range</w:t>
            </w:r>
          </w:p>
        </w:tc>
      </w:tr>
      <w:tr>
        <w:tc>
          <w:tcPr>
            <w:tcW w:type="dxa" w:w="1234"/>
          </w:tcPr>
          <w:p>
            <w:r>
              <w:rPr>
                <w:rFonts w:ascii="Calibri" w:hAnsi="Calibri"/>
                <w:sz w:val="22"/>
              </w:rPr>
              <w:t>Operating EBITDA ($B)</w:t>
            </w:r>
          </w:p>
        </w:tc>
        <w:tc>
          <w:tcPr>
            <w:tcW w:type="dxa" w:w="1234"/>
          </w:tcPr>
          <w:p>
            <w:r>
              <w:rPr>
                <w:rFonts w:ascii="Calibri" w:hAnsi="Calibri"/>
                <w:sz w:val="22"/>
              </w:rPr>
              <w:t>$10.7B</w:t>
            </w:r>
          </w:p>
        </w:tc>
        <w:tc>
          <w:tcPr>
            <w:tcW w:type="dxa" w:w="1234"/>
          </w:tcPr>
          <w:p>
            <w:r>
              <w:rPr>
                <w:rFonts w:ascii="Calibri" w:hAnsi="Calibri"/>
                <w:sz w:val="22"/>
              </w:rPr>
              <w:t>$9.3B</w:t>
            </w:r>
          </w:p>
        </w:tc>
        <w:tc>
          <w:tcPr>
            <w:tcW w:type="dxa" w:w="1234"/>
          </w:tcPr>
          <w:p>
            <w:r>
              <w:rPr>
                <w:rFonts w:ascii="Calibri" w:hAnsi="Calibri"/>
                <w:sz w:val="22"/>
              </w:rPr>
              <w:t>$24.7B</w:t>
            </w:r>
          </w:p>
        </w:tc>
        <w:tc>
          <w:tcPr>
            <w:tcW w:type="dxa" w:w="1234"/>
          </w:tcPr>
          <w:p>
            <w:r>
              <w:rPr>
                <w:rFonts w:ascii="Calibri" w:hAnsi="Calibri"/>
                <w:b/>
                <w:color w:val="30A46C"/>
                <w:sz w:val="22"/>
              </w:rPr>
              <w:t>+166% YoY</w:t>
            </w:r>
          </w:p>
        </w:tc>
        <w:tc>
          <w:tcPr>
            <w:tcW w:type="dxa" w:w="1234"/>
          </w:tcPr>
          <w:p>
            <w:r>
              <w:rPr>
                <w:rFonts w:ascii="Calibri" w:hAnsi="Calibri"/>
                <w:sz w:val="22"/>
              </w:rPr>
              <w:t>No specific quarterly EBITDA guidance</w:t>
            </w:r>
          </w:p>
        </w:tc>
        <w:tc>
          <w:tcPr>
            <w:tcW w:type="dxa" w:w="1234"/>
          </w:tcPr>
          <w:p>
            <w:r>
              <w:rPr>
                <w:rFonts w:ascii="Calibri" w:hAnsi="Calibri"/>
                <w:sz w:val="22"/>
              </w:rPr>
              <w:t>N/A</w:t>
            </w:r>
          </w:p>
        </w:tc>
      </w:tr>
    </w:tbl>
    <w:p>
      <w:r>
        <w:rPr>
          <w:rFonts w:ascii="Calibri" w:hAnsi="Calibri"/>
          <w:i/>
          <w:color w:val="525866"/>
          <w:sz w:val="22"/>
        </w:rPr>
        <w:t>Source: Visible Alpha Consensus and Actuals Data. Q2 2026 consensus as of July 31, 2026. Q1 2026 actuals as reported May 1, 2026. Note: Q2 2026 Operating EBITDA consensus of $24.7B reflects the full-quarter benefit of elevated oil prices (WTI averaged ~$85–90/bbl through much of Q2) vs. Q1's $10.7B which was impacted by timing effects. The large sequential jump in FCF consensus ($14.8B vs. -$1.5B) reflects the expected unwind of ~$1B in paper derivative positions and normalization of working capital flagged by management on the Q1 call.</w:t>
      </w:r>
    </w:p>
    <w:p>
      <w:r>
        <w:rPr>
          <w:rFonts w:ascii="Calibri" w:hAnsi="Calibri"/>
          <w:b/>
          <w:color w:val="525866"/>
          <w:sz w:val="22"/>
        </w:rPr>
        <w:t>Table 2 — Beat/Miss History: Top 2 KPIs (Last 8 Quarters)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Adj. EPS ($)</w:t>
            </w:r>
          </w:p>
        </w:tc>
        <w:tc>
          <w:tcPr>
            <w:tcW w:type="dxa" w:w="1440"/>
          </w:tcPr>
          <w:p>
            <w:r>
              <w:rPr>
                <w:rFonts w:ascii="Calibri" w:hAnsi="Calibri"/>
                <w:sz w:val="22"/>
              </w:rPr>
              <w:t>$1.41</w:t>
            </w:r>
          </w:p>
        </w:tc>
        <w:tc>
          <w:tcPr>
            <w:tcW w:type="dxa" w:w="1440"/>
          </w:tcPr>
          <w:p>
            <w:r>
              <w:rPr>
                <w:rFonts w:ascii="Calibri" w:hAnsi="Calibri"/>
                <w:sz w:val="22"/>
              </w:rPr>
              <w:t>$1.02</w:t>
            </w:r>
          </w:p>
        </w:tc>
        <w:tc>
          <w:tcPr>
            <w:tcW w:type="dxa" w:w="1440"/>
          </w:tcPr>
          <w:p>
            <w:r>
              <w:rPr>
                <w:rFonts w:ascii="Calibri" w:hAnsi="Calibri"/>
                <w:b/>
                <w:color w:val="30A46C"/>
                <w:sz w:val="22"/>
              </w:rPr>
              <w:t>+38.2%</w:t>
            </w:r>
          </w:p>
        </w:tc>
        <w:tc>
          <w:tcPr>
            <w:tcW w:type="dxa" w:w="1440"/>
          </w:tcPr>
          <w:p>
            <w:r>
              <w:rPr>
                <w:rFonts w:ascii="Calibri" w:hAnsi="Calibri"/>
                <w:sz w:val="22"/>
              </w:rPr>
              <w:t>BEAT</w:t>
            </w:r>
          </w:p>
        </w:tc>
      </w:tr>
      <w:tr>
        <w:tc>
          <w:tcPr>
            <w:tcW w:type="dxa" w:w="1440"/>
          </w:tcPr>
          <w:p>
            <w:r>
              <w:rPr>
                <w:rFonts w:ascii="Calibri" w:hAnsi="Calibri"/>
                <w:sz w:val="22"/>
              </w:rPr>
              <w:t>Q1 2026</w:t>
            </w:r>
          </w:p>
        </w:tc>
        <w:tc>
          <w:tcPr>
            <w:tcW w:type="dxa" w:w="1440"/>
          </w:tcPr>
          <w:p>
            <w:r>
              <w:rPr>
                <w:rFonts w:ascii="Calibri" w:hAnsi="Calibri"/>
                <w:sz w:val="22"/>
              </w:rPr>
              <w:t>Production (Mboe/d)</w:t>
            </w:r>
          </w:p>
        </w:tc>
        <w:tc>
          <w:tcPr>
            <w:tcW w:type="dxa" w:w="1440"/>
          </w:tcPr>
          <w:p>
            <w:r>
              <w:rPr>
                <w:rFonts w:ascii="Calibri" w:hAnsi="Calibri"/>
                <w:sz w:val="22"/>
              </w:rPr>
              <w:t>3,858.5</w:t>
            </w:r>
          </w:p>
        </w:tc>
        <w:tc>
          <w:tcPr>
            <w:tcW w:type="dxa" w:w="1440"/>
          </w:tcPr>
          <w:p>
            <w:r>
              <w:rPr>
                <w:rFonts w:ascii="Calibri" w:hAnsi="Calibri"/>
                <w:sz w:val="22"/>
              </w:rPr>
              <w:t>3,852.5</w:t>
            </w:r>
          </w:p>
        </w:tc>
        <w:tc>
          <w:tcPr>
            <w:tcW w:type="dxa" w:w="1440"/>
          </w:tcPr>
          <w:p>
            <w:r>
              <w:rPr>
                <w:rFonts w:ascii="Calibri" w:hAnsi="Calibri"/>
                <w:b/>
                <w:color w:val="30A46C"/>
                <w:sz w:val="22"/>
              </w:rPr>
              <w:t>+0.2%</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Adj. EPS ($)</w:t>
            </w:r>
          </w:p>
        </w:tc>
        <w:tc>
          <w:tcPr>
            <w:tcW w:type="dxa" w:w="1440"/>
          </w:tcPr>
          <w:p>
            <w:r>
              <w:rPr>
                <w:rFonts w:ascii="Calibri" w:hAnsi="Calibri"/>
                <w:sz w:val="22"/>
              </w:rPr>
              <w:t>$1.52</w:t>
            </w:r>
          </w:p>
        </w:tc>
        <w:tc>
          <w:tcPr>
            <w:tcW w:type="dxa" w:w="1440"/>
          </w:tcPr>
          <w:p>
            <w:r>
              <w:rPr>
                <w:rFonts w:ascii="Calibri" w:hAnsi="Calibri"/>
                <w:sz w:val="22"/>
              </w:rPr>
              <w:t>$1.44</w:t>
            </w:r>
          </w:p>
        </w:tc>
        <w:tc>
          <w:tcPr>
            <w:tcW w:type="dxa" w:w="1440"/>
          </w:tcPr>
          <w:p>
            <w:r>
              <w:rPr>
                <w:rFonts w:ascii="Calibri" w:hAnsi="Calibri"/>
                <w:b/>
                <w:color w:val="30A46C"/>
                <w:sz w:val="22"/>
              </w:rPr>
              <w:t>+5.6%</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Production (Mboe/d)</w:t>
            </w:r>
          </w:p>
        </w:tc>
        <w:tc>
          <w:tcPr>
            <w:tcW w:type="dxa" w:w="1440"/>
          </w:tcPr>
          <w:p>
            <w:r>
              <w:rPr>
                <w:rFonts w:ascii="Calibri" w:hAnsi="Calibri"/>
                <w:sz w:val="22"/>
              </w:rPr>
              <w:t>4,045.0</w:t>
            </w:r>
          </w:p>
        </w:tc>
        <w:tc>
          <w:tcPr>
            <w:tcW w:type="dxa" w:w="1440"/>
          </w:tcPr>
          <w:p>
            <w:r>
              <w:rPr>
                <w:rFonts w:ascii="Calibri" w:hAnsi="Calibri"/>
                <w:sz w:val="22"/>
              </w:rPr>
              <w:t>3,993.8</w:t>
            </w:r>
          </w:p>
        </w:tc>
        <w:tc>
          <w:tcPr>
            <w:tcW w:type="dxa" w:w="1440"/>
          </w:tcPr>
          <w:p>
            <w:r>
              <w:rPr>
                <w:rFonts w:ascii="Calibri" w:hAnsi="Calibri"/>
                <w:b/>
                <w:color w:val="30A46C"/>
                <w:sz w:val="22"/>
              </w:rPr>
              <w:t>+1.3%</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Adj. EPS ($)</w:t>
            </w:r>
          </w:p>
        </w:tc>
        <w:tc>
          <w:tcPr>
            <w:tcW w:type="dxa" w:w="1440"/>
          </w:tcPr>
          <w:p>
            <w:r>
              <w:rPr>
                <w:rFonts w:ascii="Calibri" w:hAnsi="Calibri"/>
                <w:sz w:val="22"/>
              </w:rPr>
              <w:t>$1.86</w:t>
            </w:r>
          </w:p>
        </w:tc>
        <w:tc>
          <w:tcPr>
            <w:tcW w:type="dxa" w:w="1440"/>
          </w:tcPr>
          <w:p>
            <w:r>
              <w:rPr>
                <w:rFonts w:ascii="Calibri" w:hAnsi="Calibri"/>
                <w:sz w:val="22"/>
              </w:rPr>
              <w:t>$1.70</w:t>
            </w:r>
          </w:p>
        </w:tc>
        <w:tc>
          <w:tcPr>
            <w:tcW w:type="dxa" w:w="1440"/>
          </w:tcPr>
          <w:p>
            <w:r>
              <w:rPr>
                <w:rFonts w:ascii="Calibri" w:hAnsi="Calibri"/>
                <w:b/>
                <w:color w:val="30A46C"/>
                <w:sz w:val="22"/>
              </w:rPr>
              <w:t>+9.4%</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Production (Mboe/d)</w:t>
            </w:r>
          </w:p>
        </w:tc>
        <w:tc>
          <w:tcPr>
            <w:tcW w:type="dxa" w:w="1440"/>
          </w:tcPr>
          <w:p>
            <w:r>
              <w:rPr>
                <w:rFonts w:ascii="Calibri" w:hAnsi="Calibri"/>
                <w:sz w:val="22"/>
              </w:rPr>
              <w:t>4,084.8</w:t>
            </w:r>
          </w:p>
        </w:tc>
        <w:tc>
          <w:tcPr>
            <w:tcW w:type="dxa" w:w="1440"/>
          </w:tcPr>
          <w:p>
            <w:r>
              <w:rPr>
                <w:rFonts w:ascii="Calibri" w:hAnsi="Calibri"/>
                <w:sz w:val="22"/>
              </w:rPr>
              <w:t>3,872.7</w:t>
            </w:r>
          </w:p>
        </w:tc>
        <w:tc>
          <w:tcPr>
            <w:tcW w:type="dxa" w:w="1440"/>
          </w:tcPr>
          <w:p>
            <w:r>
              <w:rPr>
                <w:rFonts w:ascii="Calibri" w:hAnsi="Calibri"/>
                <w:b/>
                <w:color w:val="30A46C"/>
                <w:sz w:val="22"/>
              </w:rPr>
              <w:t>+5.5%</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Adj. EPS ($)</w:t>
            </w:r>
          </w:p>
        </w:tc>
        <w:tc>
          <w:tcPr>
            <w:tcW w:type="dxa" w:w="1440"/>
          </w:tcPr>
          <w:p>
            <w:r>
              <w:rPr>
                <w:rFonts w:ascii="Calibri" w:hAnsi="Calibri"/>
                <w:sz w:val="22"/>
              </w:rPr>
              <w:t>$1.77</w:t>
            </w:r>
          </w:p>
        </w:tc>
        <w:tc>
          <w:tcPr>
            <w:tcW w:type="dxa" w:w="1440"/>
          </w:tcPr>
          <w:p>
            <w:r>
              <w:rPr>
                <w:rFonts w:ascii="Calibri" w:hAnsi="Calibri"/>
                <w:sz w:val="22"/>
              </w:rPr>
              <w:t>$1.70</w:t>
            </w:r>
          </w:p>
        </w:tc>
        <w:tc>
          <w:tcPr>
            <w:tcW w:type="dxa" w:w="1440"/>
          </w:tcPr>
          <w:p>
            <w:r>
              <w:rPr>
                <w:rFonts w:ascii="Calibri" w:hAnsi="Calibri"/>
                <w:b/>
                <w:color w:val="30A46C"/>
                <w:sz w:val="22"/>
              </w:rPr>
              <w:t>+4.1%</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Production (Mboe/d)</w:t>
            </w:r>
          </w:p>
        </w:tc>
        <w:tc>
          <w:tcPr>
            <w:tcW w:type="dxa" w:w="1440"/>
          </w:tcPr>
          <w:p>
            <w:r>
              <w:rPr>
                <w:rFonts w:ascii="Calibri" w:hAnsi="Calibri"/>
                <w:sz w:val="22"/>
              </w:rPr>
              <w:t>3,395.2</w:t>
            </w:r>
          </w:p>
        </w:tc>
        <w:tc>
          <w:tcPr>
            <w:tcW w:type="dxa" w:w="1440"/>
          </w:tcPr>
          <w:p>
            <w:r>
              <w:rPr>
                <w:rFonts w:ascii="Calibri" w:hAnsi="Calibri"/>
                <w:sz w:val="22"/>
              </w:rPr>
              <w:t>3,341.7</w:t>
            </w:r>
          </w:p>
        </w:tc>
        <w:tc>
          <w:tcPr>
            <w:tcW w:type="dxa" w:w="1440"/>
          </w:tcPr>
          <w:p>
            <w:r>
              <w:rPr>
                <w:rFonts w:ascii="Calibri" w:hAnsi="Calibri"/>
                <w:b/>
                <w:color w:val="30A46C"/>
                <w:sz w:val="22"/>
              </w:rPr>
              <w:t>+1.6%</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Adj. EPS ($)</w:t>
            </w:r>
          </w:p>
        </w:tc>
        <w:tc>
          <w:tcPr>
            <w:tcW w:type="dxa" w:w="1440"/>
          </w:tcPr>
          <w:p>
            <w:r>
              <w:rPr>
                <w:rFonts w:ascii="Calibri" w:hAnsi="Calibri"/>
                <w:sz w:val="22"/>
              </w:rPr>
              <w:t>$2.18</w:t>
            </w:r>
          </w:p>
        </w:tc>
        <w:tc>
          <w:tcPr>
            <w:tcW w:type="dxa" w:w="1440"/>
          </w:tcPr>
          <w:p>
            <w:r>
              <w:rPr>
                <w:rFonts w:ascii="Calibri" w:hAnsi="Calibri"/>
                <w:sz w:val="22"/>
              </w:rPr>
              <w:t>$2.13</w:t>
            </w:r>
          </w:p>
        </w:tc>
        <w:tc>
          <w:tcPr>
            <w:tcW w:type="dxa" w:w="1440"/>
          </w:tcPr>
          <w:p>
            <w:r>
              <w:rPr>
                <w:rFonts w:ascii="Calibri" w:hAnsi="Calibri"/>
                <w:b/>
                <w:color w:val="30A46C"/>
                <w:sz w:val="22"/>
              </w:rPr>
              <w:t>+2.3%</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Production (Mboe/d)</w:t>
            </w:r>
          </w:p>
        </w:tc>
        <w:tc>
          <w:tcPr>
            <w:tcW w:type="dxa" w:w="1440"/>
          </w:tcPr>
          <w:p>
            <w:r>
              <w:rPr>
                <w:rFonts w:ascii="Calibri" w:hAnsi="Calibri"/>
                <w:sz w:val="22"/>
              </w:rPr>
              <w:t>3,352.7</w:t>
            </w:r>
          </w:p>
        </w:tc>
        <w:tc>
          <w:tcPr>
            <w:tcW w:type="dxa" w:w="1440"/>
          </w:tcPr>
          <w:p>
            <w:r>
              <w:rPr>
                <w:rFonts w:ascii="Calibri" w:hAnsi="Calibri"/>
                <w:sz w:val="22"/>
              </w:rPr>
              <w:t>3,302.4</w:t>
            </w:r>
          </w:p>
        </w:tc>
        <w:tc>
          <w:tcPr>
            <w:tcW w:type="dxa" w:w="1440"/>
          </w:tcPr>
          <w:p>
            <w:r>
              <w:rPr>
                <w:rFonts w:ascii="Calibri" w:hAnsi="Calibri"/>
                <w:b/>
                <w:color w:val="30A46C"/>
                <w:sz w:val="22"/>
              </w:rPr>
              <w:t>+1.5%</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Adj. EPS ($)</w:t>
            </w:r>
          </w:p>
        </w:tc>
        <w:tc>
          <w:tcPr>
            <w:tcW w:type="dxa" w:w="1440"/>
          </w:tcPr>
          <w:p>
            <w:r>
              <w:rPr>
                <w:rFonts w:ascii="Calibri" w:hAnsi="Calibri"/>
                <w:sz w:val="22"/>
              </w:rPr>
              <w:t>$2.06</w:t>
            </w:r>
          </w:p>
        </w:tc>
        <w:tc>
          <w:tcPr>
            <w:tcW w:type="dxa" w:w="1440"/>
          </w:tcPr>
          <w:p>
            <w:r>
              <w:rPr>
                <w:rFonts w:ascii="Calibri" w:hAnsi="Calibri"/>
                <w:sz w:val="22"/>
              </w:rPr>
              <w:t>$2.15</w:t>
            </w:r>
          </w:p>
        </w:tc>
        <w:tc>
          <w:tcPr>
            <w:tcW w:type="dxa" w:w="1440"/>
          </w:tcPr>
          <w:p>
            <w:r>
              <w:rPr>
                <w:rFonts w:ascii="Calibri" w:hAnsi="Calibri"/>
                <w:b/>
                <w:color w:val="E5484D"/>
                <w:sz w:val="22"/>
              </w:rPr>
              <w:t>-4.2%</w:t>
            </w:r>
          </w:p>
        </w:tc>
        <w:tc>
          <w:tcPr>
            <w:tcW w:type="dxa" w:w="1440"/>
          </w:tcPr>
          <w:p>
            <w:r>
              <w:rPr>
                <w:rFonts w:ascii="Calibri" w:hAnsi="Calibri"/>
                <w:sz w:val="22"/>
              </w:rPr>
              <w:t>MISS</w:t>
            </w:r>
          </w:p>
        </w:tc>
      </w:tr>
      <w:tr>
        <w:tc>
          <w:tcPr>
            <w:tcW w:type="dxa" w:w="1440"/>
          </w:tcPr>
          <w:p>
            <w:r>
              <w:rPr>
                <w:rFonts w:ascii="Calibri" w:hAnsi="Calibri"/>
                <w:sz w:val="22"/>
              </w:rPr>
              <w:t>Q4 2024</w:t>
            </w:r>
          </w:p>
        </w:tc>
        <w:tc>
          <w:tcPr>
            <w:tcW w:type="dxa" w:w="1440"/>
          </w:tcPr>
          <w:p>
            <w:r>
              <w:rPr>
                <w:rFonts w:ascii="Calibri" w:hAnsi="Calibri"/>
                <w:sz w:val="22"/>
              </w:rPr>
              <w:t>Production (Mboe/d)</w:t>
            </w:r>
          </w:p>
        </w:tc>
        <w:tc>
          <w:tcPr>
            <w:tcW w:type="dxa" w:w="1440"/>
          </w:tcPr>
          <w:p>
            <w:r>
              <w:rPr>
                <w:rFonts w:ascii="Calibri" w:hAnsi="Calibri"/>
                <w:sz w:val="22"/>
              </w:rPr>
              <w:t>3,349.3</w:t>
            </w:r>
          </w:p>
        </w:tc>
        <w:tc>
          <w:tcPr>
            <w:tcW w:type="dxa" w:w="1440"/>
          </w:tcPr>
          <w:p>
            <w:r>
              <w:rPr>
                <w:rFonts w:ascii="Calibri" w:hAnsi="Calibri"/>
                <w:sz w:val="22"/>
              </w:rPr>
              <w:t>3,316.0</w:t>
            </w:r>
          </w:p>
        </w:tc>
        <w:tc>
          <w:tcPr>
            <w:tcW w:type="dxa" w:w="1440"/>
          </w:tcPr>
          <w:p>
            <w:r>
              <w:rPr>
                <w:rFonts w:ascii="Calibri" w:hAnsi="Calibri"/>
                <w:b/>
                <w:color w:val="30A46C"/>
                <w:sz w:val="22"/>
              </w:rPr>
              <w:t>+1.0%</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Adj. EPS ($)</w:t>
            </w:r>
          </w:p>
        </w:tc>
        <w:tc>
          <w:tcPr>
            <w:tcW w:type="dxa" w:w="1440"/>
          </w:tcPr>
          <w:p>
            <w:r>
              <w:rPr>
                <w:rFonts w:ascii="Calibri" w:hAnsi="Calibri"/>
                <w:sz w:val="22"/>
              </w:rPr>
              <w:t>$2.51</w:t>
            </w:r>
          </w:p>
        </w:tc>
        <w:tc>
          <w:tcPr>
            <w:tcW w:type="dxa" w:w="1440"/>
          </w:tcPr>
          <w:p>
            <w:r>
              <w:rPr>
                <w:rFonts w:ascii="Calibri" w:hAnsi="Calibri"/>
                <w:sz w:val="22"/>
              </w:rPr>
              <w:t>$2.46</w:t>
            </w:r>
          </w:p>
        </w:tc>
        <w:tc>
          <w:tcPr>
            <w:tcW w:type="dxa" w:w="1440"/>
          </w:tcPr>
          <w:p>
            <w:r>
              <w:rPr>
                <w:rFonts w:ascii="Calibri" w:hAnsi="Calibri"/>
                <w:b/>
                <w:color w:val="30A46C"/>
                <w:sz w:val="22"/>
              </w:rPr>
              <w:t>+2.0%</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Production (Mboe/d)</w:t>
            </w:r>
          </w:p>
        </w:tc>
        <w:tc>
          <w:tcPr>
            <w:tcW w:type="dxa" w:w="1440"/>
          </w:tcPr>
          <w:p>
            <w:r>
              <w:rPr>
                <w:rFonts w:ascii="Calibri" w:hAnsi="Calibri"/>
                <w:sz w:val="22"/>
              </w:rPr>
              <w:t>3,364.0</w:t>
            </w:r>
          </w:p>
        </w:tc>
        <w:tc>
          <w:tcPr>
            <w:tcW w:type="dxa" w:w="1440"/>
          </w:tcPr>
          <w:p>
            <w:r>
              <w:rPr>
                <w:rFonts w:ascii="Calibri" w:hAnsi="Calibri"/>
                <w:sz w:val="22"/>
              </w:rPr>
              <w:t>3,279.8</w:t>
            </w:r>
          </w:p>
        </w:tc>
        <w:tc>
          <w:tcPr>
            <w:tcW w:type="dxa" w:w="1440"/>
          </w:tcPr>
          <w:p>
            <w:r>
              <w:rPr>
                <w:rFonts w:ascii="Calibri" w:hAnsi="Calibri"/>
                <w:b/>
                <w:color w:val="30A46C"/>
                <w:sz w:val="22"/>
              </w:rPr>
              <w:t>+2.6%</w:t>
            </w:r>
          </w:p>
        </w:tc>
        <w:tc>
          <w:tcPr>
            <w:tcW w:type="dxa" w:w="1440"/>
          </w:tcPr>
          <w:p>
            <w:r>
              <w:rPr>
                <w:rFonts w:ascii="Calibri" w:hAnsi="Calibri"/>
                <w:sz w:val="22"/>
              </w:rPr>
              <w:t>BEAT</w:t>
            </w:r>
          </w:p>
        </w:tc>
      </w:tr>
      <w:tr>
        <w:tc>
          <w:tcPr>
            <w:tcW w:type="dxa" w:w="1440"/>
          </w:tcPr>
          <w:p>
            <w:r>
              <w:rPr>
                <w:rFonts w:ascii="Calibri" w:hAnsi="Calibri"/>
                <w:sz w:val="22"/>
              </w:rPr>
              <w:t>Q2 2024</w:t>
            </w:r>
          </w:p>
        </w:tc>
        <w:tc>
          <w:tcPr>
            <w:tcW w:type="dxa" w:w="1440"/>
          </w:tcPr>
          <w:p>
            <w:r>
              <w:rPr>
                <w:rFonts w:ascii="Calibri" w:hAnsi="Calibri"/>
                <w:sz w:val="22"/>
              </w:rPr>
              <w:t>Adj. EPS ($)</w:t>
            </w:r>
          </w:p>
        </w:tc>
        <w:tc>
          <w:tcPr>
            <w:tcW w:type="dxa" w:w="1440"/>
          </w:tcPr>
          <w:p>
            <w:r>
              <w:rPr>
                <w:rFonts w:ascii="Calibri" w:hAnsi="Calibri"/>
                <w:sz w:val="22"/>
              </w:rPr>
              <w:t>$2.55</w:t>
            </w:r>
          </w:p>
        </w:tc>
        <w:tc>
          <w:tcPr>
            <w:tcW w:type="dxa" w:w="1440"/>
          </w:tcPr>
          <w:p>
            <w:r>
              <w:rPr>
                <w:rFonts w:ascii="Calibri" w:hAnsi="Calibri"/>
                <w:sz w:val="22"/>
              </w:rPr>
              <w:t>$2.98</w:t>
            </w:r>
          </w:p>
        </w:tc>
        <w:tc>
          <w:tcPr>
            <w:tcW w:type="dxa" w:w="1440"/>
          </w:tcPr>
          <w:p>
            <w:r>
              <w:rPr>
                <w:rFonts w:ascii="Calibri" w:hAnsi="Calibri"/>
                <w:b/>
                <w:color w:val="E5484D"/>
                <w:sz w:val="22"/>
              </w:rPr>
              <w:t>-14.4%</w:t>
            </w:r>
          </w:p>
        </w:tc>
        <w:tc>
          <w:tcPr>
            <w:tcW w:type="dxa" w:w="1440"/>
          </w:tcPr>
          <w:p>
            <w:r>
              <w:rPr>
                <w:rFonts w:ascii="Calibri" w:hAnsi="Calibri"/>
                <w:sz w:val="22"/>
              </w:rPr>
              <w:t>MISS</w:t>
            </w:r>
          </w:p>
        </w:tc>
      </w:tr>
      <w:tr>
        <w:tc>
          <w:tcPr>
            <w:tcW w:type="dxa" w:w="1440"/>
          </w:tcPr>
          <w:p>
            <w:r>
              <w:rPr>
                <w:rFonts w:ascii="Calibri" w:hAnsi="Calibri"/>
                <w:sz w:val="22"/>
              </w:rPr>
              <w:t>Q2 2024</w:t>
            </w:r>
          </w:p>
        </w:tc>
        <w:tc>
          <w:tcPr>
            <w:tcW w:type="dxa" w:w="1440"/>
          </w:tcPr>
          <w:p>
            <w:r>
              <w:rPr>
                <w:rFonts w:ascii="Calibri" w:hAnsi="Calibri"/>
                <w:sz w:val="22"/>
              </w:rPr>
              <w:t>Production (Mboe/d)</w:t>
            </w:r>
          </w:p>
        </w:tc>
        <w:tc>
          <w:tcPr>
            <w:tcW w:type="dxa" w:w="1440"/>
          </w:tcPr>
          <w:p>
            <w:r>
              <w:rPr>
                <w:rFonts w:ascii="Calibri" w:hAnsi="Calibri"/>
                <w:sz w:val="22"/>
              </w:rPr>
              <w:t>3,291.8</w:t>
            </w:r>
          </w:p>
        </w:tc>
        <w:tc>
          <w:tcPr>
            <w:tcW w:type="dxa" w:w="1440"/>
          </w:tcPr>
          <w:p>
            <w:r>
              <w:rPr>
                <w:rFonts w:ascii="Calibri" w:hAnsi="Calibri"/>
                <w:sz w:val="22"/>
              </w:rPr>
              <w:t>3,224.2</w:t>
            </w:r>
          </w:p>
        </w:tc>
        <w:tc>
          <w:tcPr>
            <w:tcW w:type="dxa" w:w="1440"/>
          </w:tcPr>
          <w:p>
            <w:r>
              <w:rPr>
                <w:rFonts w:ascii="Calibri" w:hAnsi="Calibri"/>
                <w:b/>
                <w:color w:val="30A46C"/>
                <w:sz w:val="22"/>
              </w:rPr>
              <w:t>+2.1%</w:t>
            </w:r>
          </w:p>
        </w:tc>
        <w:tc>
          <w:tcPr>
            <w:tcW w:type="dxa" w:w="1440"/>
          </w:tcPr>
          <w:p>
            <w:r>
              <w:rPr>
                <w:rFonts w:ascii="Calibri" w:hAnsi="Calibri"/>
                <w:sz w:val="22"/>
              </w:rPr>
              <w:t>BEAT</w:t>
            </w:r>
          </w:p>
        </w:tc>
      </w:tr>
    </w:tbl>
    <w:p>
      <w:r>
        <w:rPr>
          <w:rFonts w:ascii="Calibri" w:hAnsi="Calibri"/>
          <w:b/>
          <w:color w:val="525866"/>
          <w:sz w:val="22"/>
        </w:rPr>
        <w:t xml:space="preserve">Pattern: </w:t>
      </w:r>
      <w:r>
        <w:rPr>
          <w:rFonts w:ascii="Calibri" w:hAnsi="Calibri"/>
          <w:i/>
          <w:color w:val="525866"/>
          <w:sz w:val="22"/>
        </w:rPr>
        <w:t>CVX has beaten adjusted EPS consensus in 6 of the last 8 quarters and beaten production consensus in 7 of 8 quarters, with the two EPS misses (Q2 2024 and Q4 2024) driven by one-time items and commodity timing rather than operational underperformance. Production beats have been consistent and accelerating post-Hess integration.</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b/>
          <w:color w:val="525866"/>
          <w:sz w:val="22"/>
        </w:rPr>
        <w:t xml:space="preserve">All 2026 full-year guidance metrics were </w:t>
      </w:r>
      <w:r>
        <w:rPr>
          <w:rFonts w:ascii="Calibri" w:hAnsi="Calibri"/>
          <w:b/>
          <w:color w:val="525866"/>
          <w:sz w:val="22"/>
        </w:rPr>
        <w:t>reaffirmed unchanged</w:t>
      </w:r>
      <w:r>
        <w:rPr>
          <w:rFonts w:ascii="Calibri" w:hAnsi="Calibri"/>
          <w:b/>
          <w:color w:val="525866"/>
          <w:sz w:val="22"/>
        </w:rPr>
        <w:t xml:space="preserve"> at Q1 earnings (May 1); the only post-earnings update was a material </w:t>
      </w:r>
      <w:r>
        <w:rPr>
          <w:rFonts w:ascii="Calibri" w:hAnsi="Calibri"/>
          <w:b/>
          <w:color w:val="525866"/>
          <w:sz w:val="22"/>
        </w:rPr>
        <w:t>raise in Q2 affiliate distribution guidance</w:t>
      </w:r>
      <w:r>
        <w:rPr>
          <w:rFonts w:ascii="Calibri" w:hAnsi="Calibri"/>
          <w:b/>
          <w:color w:val="525866"/>
          <w:sz w:val="22"/>
        </w:rPr>
        <w:t xml:space="preserve"> (&gt;$2B above Q1 levels) driven by TCO shifting to monthly dividends — a positive read-through for Q2 FCF quality.</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1)</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Production Growth</w:t>
            </w:r>
          </w:p>
        </w:tc>
        <w:tc>
          <w:tcPr>
            <w:tcW w:type="dxa" w:w="1728"/>
          </w:tcPr>
          <w:p>
            <w:r>
              <w:rPr>
                <w:rFonts w:ascii="Calibri" w:hAnsi="Calibri"/>
                <w:sz w:val="22"/>
              </w:rPr>
              <w:t>+7% to +10% YoY</w:t>
            </w:r>
          </w:p>
        </w:tc>
        <w:tc>
          <w:tcPr>
            <w:tcW w:type="dxa" w:w="1728"/>
          </w:tcPr>
          <w:p>
            <w:r>
              <w:rPr>
                <w:rFonts w:ascii="Calibri" w:hAnsi="Calibri"/>
                <w:sz w:val="22"/>
              </w:rPr>
              <w:t>—</w:t>
            </w:r>
          </w:p>
        </w:tc>
        <w:tc>
          <w:tcPr>
            <w:tcW w:type="dxa" w:w="1728"/>
          </w:tcPr>
          <w:p>
            <w:r>
              <w:rPr>
                <w:rFonts w:ascii="Calibri" w:hAnsi="Calibri"/>
                <w:sz w:val="22"/>
              </w:rPr>
              <w:t>~4,025 Mboe/d FY avg. (consensus)</w:t>
            </w:r>
          </w:p>
        </w:tc>
        <w:tc>
          <w:tcPr>
            <w:tcW w:type="dxa" w:w="1728"/>
          </w:tcPr>
          <w:p>
            <w:r>
              <w:rPr>
                <w:rFonts w:ascii="Calibri" w:hAnsi="Calibri"/>
                <w:sz w:val="22"/>
              </w:rPr>
              <w:t>Reaffirmed; Q2 production guided higher than Q1 (3,858 Mboe/d)</w:t>
            </w:r>
          </w:p>
        </w:tc>
      </w:tr>
      <w:tr>
        <w:tc>
          <w:tcPr>
            <w:tcW w:type="dxa" w:w="1728"/>
          </w:tcPr>
          <w:p>
            <w:r>
              <w:rPr>
                <w:rFonts w:ascii="Calibri" w:hAnsi="Calibri"/>
                <w:sz w:val="22"/>
              </w:rPr>
              <w:t>FY2026 Capital Expenditure</w:t>
            </w:r>
          </w:p>
        </w:tc>
        <w:tc>
          <w:tcPr>
            <w:tcW w:type="dxa" w:w="1728"/>
          </w:tcPr>
          <w:p>
            <w:r>
              <w:rPr>
                <w:rFonts w:ascii="Calibri" w:hAnsi="Calibri"/>
                <w:sz w:val="22"/>
              </w:rPr>
              <w:t>$18B–$19B</w:t>
            </w:r>
          </w:p>
        </w:tc>
        <w:tc>
          <w:tcPr>
            <w:tcW w:type="dxa" w:w="1728"/>
          </w:tcPr>
          <w:p>
            <w:r>
              <w:rPr>
                <w:rFonts w:ascii="Calibri" w:hAnsi="Calibri"/>
                <w:sz w:val="22"/>
              </w:rPr>
              <w:t>—</w:t>
            </w:r>
          </w:p>
        </w:tc>
        <w:tc>
          <w:tcPr>
            <w:tcW w:type="dxa" w:w="1728"/>
          </w:tcPr>
          <w:p>
            <w:r>
              <w:rPr>
                <w:rFonts w:ascii="Calibri" w:hAnsi="Calibri"/>
                <w:sz w:val="22"/>
              </w:rPr>
              <w:t>$18.1B (consensus)</w:t>
            </w:r>
          </w:p>
        </w:tc>
        <w:tc>
          <w:tcPr>
            <w:tcW w:type="dxa" w:w="1728"/>
          </w:tcPr>
          <w:p>
            <w:r>
              <w:rPr>
                <w:rFonts w:ascii="Calibri" w:hAnsi="Calibri"/>
                <w:sz w:val="22"/>
              </w:rPr>
              <w:t>Reaffirmed; Microsoft power project capex already factored into existing guidance (confirmed at JPM Conf., June 23)</w:t>
            </w:r>
          </w:p>
        </w:tc>
      </w:tr>
      <w:tr>
        <w:tc>
          <w:tcPr>
            <w:tcW w:type="dxa" w:w="1728"/>
          </w:tcPr>
          <w:p>
            <w:r>
              <w:rPr>
                <w:rFonts w:ascii="Calibri" w:hAnsi="Calibri"/>
                <w:sz w:val="22"/>
              </w:rPr>
              <w:t>FY2026 Structural Cost Reductions</w:t>
            </w:r>
          </w:p>
        </w:tc>
        <w:tc>
          <w:tcPr>
            <w:tcW w:type="dxa" w:w="1728"/>
          </w:tcPr>
          <w:p>
            <w:r>
              <w:rPr>
                <w:rFonts w:ascii="Calibri" w:hAnsi="Calibri"/>
                <w:sz w:val="22"/>
              </w:rPr>
              <w:t>$3B–$4B by year-end</w:t>
            </w:r>
          </w:p>
        </w:tc>
        <w:tc>
          <w:tcPr>
            <w:tcW w:type="dxa" w:w="1728"/>
          </w:tcPr>
          <w:p>
            <w:r>
              <w:rPr>
                <w:rFonts w:ascii="Calibri" w:hAnsi="Calibri"/>
                <w:sz w:val="22"/>
              </w:rPr>
              <w:t>—</w:t>
            </w:r>
          </w:p>
        </w:tc>
        <w:tc>
          <w:tcPr>
            <w:tcW w:type="dxa" w:w="1728"/>
          </w:tcPr>
          <w:p>
            <w:r>
              <w:rPr>
                <w:rFonts w:ascii="Calibri" w:hAnsi="Calibri"/>
                <w:sz w:val="22"/>
              </w:rPr>
              <w:t>On track per management</w:t>
            </w:r>
          </w:p>
        </w:tc>
        <w:tc>
          <w:tcPr>
            <w:tcW w:type="dxa" w:w="1728"/>
          </w:tcPr>
          <w:p>
            <w:r>
              <w:rPr>
                <w:rFonts w:ascii="Calibri" w:hAnsi="Calibri"/>
                <w:sz w:val="22"/>
              </w:rPr>
              <w:t>Reaffirmed at Bernstein (May 28) and JPM (June 23); &gt;60% from durable efficiency gains</w:t>
            </w:r>
          </w:p>
        </w:tc>
      </w:tr>
      <w:tr>
        <w:tc>
          <w:tcPr>
            <w:tcW w:type="dxa" w:w="1728"/>
          </w:tcPr>
          <w:p>
            <w:r>
              <w:rPr>
                <w:rFonts w:ascii="Calibri" w:hAnsi="Calibri"/>
                <w:sz w:val="22"/>
              </w:rPr>
              <w:t>FY2026 Free Cash Flow</w:t>
            </w:r>
          </w:p>
        </w:tc>
        <w:tc>
          <w:tcPr>
            <w:tcW w:type="dxa" w:w="1728"/>
          </w:tcPr>
          <w:p>
            <w:r>
              <w:rPr>
                <w:rFonts w:ascii="Calibri" w:hAnsi="Calibri"/>
                <w:sz w:val="22"/>
              </w:rPr>
              <w:t>$6B at $70 Brent (unchanged)</w:t>
            </w:r>
          </w:p>
        </w:tc>
        <w:tc>
          <w:tcPr>
            <w:tcW w:type="dxa" w:w="1728"/>
          </w:tcPr>
          <w:p>
            <w:r>
              <w:rPr>
                <w:rFonts w:ascii="Calibri" w:hAnsi="Calibri"/>
                <w:sz w:val="22"/>
              </w:rPr>
              <w:t>—</w:t>
            </w:r>
          </w:p>
        </w:tc>
        <w:tc>
          <w:tcPr>
            <w:tcW w:type="dxa" w:w="1728"/>
          </w:tcPr>
          <w:p>
            <w:r>
              <w:rPr>
                <w:rFonts w:ascii="Calibri" w:hAnsi="Calibri"/>
                <w:sz w:val="22"/>
              </w:rPr>
              <w:t>$34.2B FY consensus (different basis — reflects higher realized prices)</w:t>
            </w:r>
          </w:p>
        </w:tc>
        <w:tc>
          <w:tcPr>
            <w:tcW w:type="dxa" w:w="1728"/>
          </w:tcPr>
          <w:p>
            <w:r>
              <w:rPr>
                <w:rFonts w:ascii="Calibri" w:hAnsi="Calibri"/>
                <w:sz w:val="22"/>
              </w:rPr>
              <w:t>Guidance at $70 Brent; management noted "a lot of upside" if prices unfold higher; WTI was ~$89 at Bernstein (May 28)</w:t>
            </w:r>
          </w:p>
        </w:tc>
      </w:tr>
      <w:tr>
        <w:tc>
          <w:tcPr>
            <w:tcW w:type="dxa" w:w="1728"/>
          </w:tcPr>
          <w:p>
            <w:r>
              <w:rPr>
                <w:rFonts w:ascii="Calibri" w:hAnsi="Calibri"/>
                <w:sz w:val="22"/>
              </w:rPr>
              <w:t>Q2 Equity Affiliate Distributions</w:t>
            </w:r>
          </w:p>
        </w:tc>
        <w:tc>
          <w:tcPr>
            <w:tcW w:type="dxa" w:w="1728"/>
          </w:tcPr>
          <w:p>
            <w:r>
              <w:rPr>
                <w:rFonts w:ascii="Calibri" w:hAnsi="Calibri"/>
                <w:sz w:val="22"/>
              </w:rPr>
              <w:t>Raised &gt;$2B above Q1 levels at Q1 earnings call</w:t>
            </w:r>
          </w:p>
        </w:tc>
        <w:tc>
          <w:tcPr>
            <w:tcW w:type="dxa" w:w="1728"/>
          </w:tcPr>
          <w:p>
            <w:r>
              <w:rPr>
                <w:rFonts w:ascii="Calibri" w:hAnsi="Calibri"/>
                <w:sz w:val="22"/>
              </w:rPr>
              <w:t>—</w:t>
            </w:r>
          </w:p>
        </w:tc>
        <w:tc>
          <w:tcPr>
            <w:tcW w:type="dxa" w:w="1728"/>
          </w:tcPr>
          <w:p>
            <w:r>
              <w:rPr>
                <w:rFonts w:ascii="Calibri" w:hAnsi="Calibri"/>
                <w:sz w:val="22"/>
              </w:rPr>
              <w:t>N/A (not separately tracked in consensus)</w:t>
            </w:r>
          </w:p>
        </w:tc>
        <w:tc>
          <w:tcPr>
            <w:tcW w:type="dxa" w:w="1728"/>
          </w:tcPr>
          <w:p>
            <w:r>
              <w:rPr>
                <w:rFonts w:ascii="Calibri" w:hAnsi="Calibri"/>
                <w:sz w:val="22"/>
              </w:rPr>
              <w:t>↑ Raised at Q1 earnings (May 1); TCO shifted to monthly dividends; first payment received in April; CPChem and Angola LNG also contributing</w:t>
            </w:r>
          </w:p>
        </w:tc>
      </w:tr>
      <w:tr>
        <w:tc>
          <w:tcPr>
            <w:tcW w:type="dxa" w:w="1728"/>
          </w:tcPr>
          <w:p>
            <w:r>
              <w:rPr>
                <w:rFonts w:ascii="Calibri" w:hAnsi="Calibri"/>
                <w:sz w:val="22"/>
              </w:rPr>
              <w:t>Q2 Downstream Integration Value Capture</w:t>
            </w:r>
          </w:p>
        </w:tc>
        <w:tc>
          <w:tcPr>
            <w:tcW w:type="dxa" w:w="1728"/>
          </w:tcPr>
          <w:p>
            <w:r>
              <w:rPr>
                <w:rFonts w:ascii="Calibri" w:hAnsi="Calibri"/>
                <w:sz w:val="22"/>
              </w:rPr>
              <w:t>Continuing into Q2 and "likely beyond"; global equity crude throughput to more than double YoY to 40%; Asia refineries to run &gt;40% CVX equity crude</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Positive tone; management framed as structural competitive advantage from Hess integration, not one-time</w:t>
            </w:r>
          </w:p>
        </w:tc>
      </w:tr>
      <w:tr>
        <w:tc>
          <w:tcPr>
            <w:tcW w:type="dxa" w:w="1728"/>
          </w:tcPr>
          <w:p>
            <w:r>
              <w:rPr>
                <w:rFonts w:ascii="Calibri" w:hAnsi="Calibri"/>
                <w:sz w:val="22"/>
              </w:rPr>
              <w:t>Microsoft Power Project (West Texas)</w:t>
            </w:r>
          </w:p>
        </w:tc>
        <w:tc>
          <w:tcPr>
            <w:tcW w:type="dxa" w:w="1728"/>
          </w:tcPr>
          <w:p>
            <w:r>
              <w:rPr>
                <w:rFonts w:ascii="Calibri" w:hAnsi="Calibri"/>
                <w:sz w:val="22"/>
              </w:rPr>
              <w:t>Advanced negotiations; no definitive agreement or FID; multi-gigawatt scale; customer bears commodity price risk</w:t>
            </w:r>
          </w:p>
        </w:tc>
        <w:tc>
          <w:tcPr>
            <w:tcW w:type="dxa" w:w="1728"/>
          </w:tcPr>
          <w:p>
            <w:r>
              <w:rPr>
                <w:rFonts w:ascii="Calibri" w:hAnsi="Calibri"/>
                <w:sz w:val="22"/>
              </w:rPr>
              <w:t>FID expected before year-end 2026 (JPM Conf., June 23)</w:t>
            </w:r>
          </w:p>
        </w:tc>
        <w:tc>
          <w:tcPr>
            <w:tcW w:type="dxa" w:w="1728"/>
          </w:tcPr>
          <w:p>
            <w:r>
              <w:rPr>
                <w:rFonts w:ascii="Calibri" w:hAnsi="Calibri"/>
                <w:sz w:val="22"/>
              </w:rPr>
              <w:t>N/A</w:t>
            </w:r>
          </w:p>
        </w:tc>
        <w:tc>
          <w:tcPr>
            <w:tcW w:type="dxa" w:w="1728"/>
          </w:tcPr>
          <w:p>
            <w:r>
              <w:rPr>
                <w:rFonts w:ascii="Calibri" w:hAnsi="Calibri"/>
                <w:sz w:val="22"/>
              </w:rPr>
              <w:t>↑ Tone more definitive at JPM (June 23): FID timeline set, capex already in guidance, Q2 call flagged as venue for more detail; management described as "excited and confident"</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b/>
          <w:color w:val="525866"/>
          <w:sz w:val="22"/>
        </w:rPr>
        <w:t xml:space="preserve">Estimates have been revised </w:t>
      </w:r>
      <w:r>
        <w:rPr>
          <w:rFonts w:ascii="Calibri" w:hAnsi="Calibri"/>
          <w:b/>
          <w:color w:val="525866"/>
          <w:sz w:val="22"/>
        </w:rPr>
        <w:t>up ~15% for Q2 2026 EPS and ~17% for FY2026 FCF</w:t>
      </w:r>
      <w:r>
        <w:rPr>
          <w:rFonts w:ascii="Calibri" w:hAnsi="Calibri"/>
          <w:b/>
          <w:color w:val="525866"/>
          <w:sz w:val="22"/>
        </w:rPr>
        <w:t xml:space="preserve"> since the Q1 print baseline (May 6, 2026), tracking the sharp move higher in oil prices through the quarter; the gap between FY consensus FCF ($34.2B) and management's $6B guidance (at $70 Brent) is not a risk — it reflects the different price assumption, with realized Brent averaging well above $70 through Q2.</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(May 6, 2026 — 5 Days Post Q1 Print)</w:t>
            </w:r>
          </w:p>
        </w:tc>
        <w:tc>
          <w:tcPr>
            <w:tcW w:type="dxa" w:w="1080"/>
            <w:shd w:val="clear" w:color="auto" w:fill="3B4259"/>
          </w:tcPr>
          <w:p>
            <w:r>
              <w:rPr>
                <w:rFonts w:ascii="Calibri" w:hAnsi="Calibri"/>
                <w:b/>
                <w:color w:val="FFFFFF"/>
                <w:sz w:val="22"/>
              </w:rPr>
              <w:t>Current Consensus (Jul 31,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EPS — Q2 2026</w:t>
            </w:r>
          </w:p>
        </w:tc>
        <w:tc>
          <w:tcPr>
            <w:tcW w:type="dxa" w:w="1080"/>
          </w:tcPr>
          <w:p>
            <w:r>
              <w:rPr>
                <w:rFonts w:ascii="Calibri" w:hAnsi="Calibri"/>
                <w:sz w:val="22"/>
              </w:rPr>
              <w:t>$4.90</w:t>
            </w:r>
          </w:p>
        </w:tc>
        <w:tc>
          <w:tcPr>
            <w:tcW w:type="dxa" w:w="1080"/>
          </w:tcPr>
          <w:p>
            <w:r>
              <w:rPr>
                <w:rFonts w:ascii="Calibri" w:hAnsi="Calibri"/>
                <w:sz w:val="22"/>
              </w:rPr>
              <w:t>$5.65</w:t>
            </w:r>
          </w:p>
        </w:tc>
        <w:tc>
          <w:tcPr>
            <w:tcW w:type="dxa" w:w="1080"/>
          </w:tcPr>
          <w:p>
            <w:r>
              <w:rPr>
                <w:rFonts w:ascii="Calibri" w:hAnsi="Calibri"/>
                <w:b/>
                <w:color w:val="30A46C"/>
                <w:sz w:val="22"/>
              </w:rPr>
              <w:t>+15.3%</w:t>
            </w:r>
          </w:p>
        </w:tc>
        <w:tc>
          <w:tcPr>
            <w:tcW w:type="dxa" w:w="1080"/>
          </w:tcPr>
          <w:p>
            <w:r>
              <w:rPr>
                <w:rFonts w:ascii="Calibri" w:hAnsi="Calibri"/>
                <w:sz w:val="22"/>
              </w:rPr>
              <w:t>No quarterly EPS guidance</w:t>
            </w:r>
          </w:p>
        </w:tc>
        <w:tc>
          <w:tcPr>
            <w:tcW w:type="dxa" w:w="1080"/>
          </w:tcPr>
          <w:p>
            <w:r>
              <w:rPr>
                <w:rFonts w:ascii="Calibri" w:hAnsi="Calibri"/>
                <w:sz w:val="22"/>
              </w:rPr>
              <w:t>No quarterly EPS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EPS — FY2026</w:t>
            </w:r>
          </w:p>
        </w:tc>
        <w:tc>
          <w:tcPr>
            <w:tcW w:type="dxa" w:w="1080"/>
          </w:tcPr>
          <w:p>
            <w:r>
              <w:rPr>
                <w:rFonts w:ascii="Calibri" w:hAnsi="Calibri"/>
                <w:sz w:val="22"/>
              </w:rPr>
              <w:t>$13.64</w:t>
            </w:r>
          </w:p>
        </w:tc>
        <w:tc>
          <w:tcPr>
            <w:tcW w:type="dxa" w:w="1080"/>
          </w:tcPr>
          <w:p>
            <w:r>
              <w:rPr>
                <w:rFonts w:ascii="Calibri" w:hAnsi="Calibri"/>
                <w:sz w:val="22"/>
              </w:rPr>
              <w:t>$14.93</w:t>
            </w:r>
          </w:p>
        </w:tc>
        <w:tc>
          <w:tcPr>
            <w:tcW w:type="dxa" w:w="1080"/>
          </w:tcPr>
          <w:p>
            <w:r>
              <w:rPr>
                <w:rFonts w:ascii="Calibri" w:hAnsi="Calibri"/>
                <w:b/>
                <w:color w:val="30A46C"/>
                <w:sz w:val="22"/>
              </w:rPr>
              <w:t>+9.5%</w:t>
            </w:r>
          </w:p>
        </w:tc>
        <w:tc>
          <w:tcPr>
            <w:tcW w:type="dxa" w:w="1080"/>
          </w:tcPr>
          <w:p>
            <w:r>
              <w:rPr>
                <w:rFonts w:ascii="Calibri" w:hAnsi="Calibri"/>
                <w:sz w:val="22"/>
              </w:rPr>
              <w:t>No FY EPS guidance</w:t>
            </w:r>
          </w:p>
        </w:tc>
        <w:tc>
          <w:tcPr>
            <w:tcW w:type="dxa" w:w="1080"/>
          </w:tcPr>
          <w:p>
            <w:r>
              <w:rPr>
                <w:rFonts w:ascii="Calibri" w:hAnsi="Calibri"/>
                <w:sz w:val="22"/>
              </w:rPr>
              <w:t>No FY EPS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Production — Q2 2026 (Mboe/d)</w:t>
            </w:r>
          </w:p>
        </w:tc>
        <w:tc>
          <w:tcPr>
            <w:tcW w:type="dxa" w:w="1080"/>
          </w:tcPr>
          <w:p>
            <w:r>
              <w:rPr>
                <w:rFonts w:ascii="Calibri" w:hAnsi="Calibri"/>
                <w:sz w:val="22"/>
              </w:rPr>
              <w:t>4,023.2</w:t>
            </w:r>
          </w:p>
        </w:tc>
        <w:tc>
          <w:tcPr>
            <w:tcW w:type="dxa" w:w="1080"/>
          </w:tcPr>
          <w:p>
            <w:r>
              <w:rPr>
                <w:rFonts w:ascii="Calibri" w:hAnsi="Calibri"/>
                <w:sz w:val="22"/>
              </w:rPr>
              <w:t>4,029.8</w:t>
            </w:r>
          </w:p>
        </w:tc>
        <w:tc>
          <w:tcPr>
            <w:tcW w:type="dxa" w:w="1080"/>
          </w:tcPr>
          <w:p>
            <w:r>
              <w:rPr>
                <w:rFonts w:ascii="Calibri" w:hAnsi="Calibri"/>
                <w:sz w:val="22"/>
              </w:rPr>
              <w:t>+0.2%</w:t>
            </w:r>
          </w:p>
        </w:tc>
        <w:tc>
          <w:tcPr>
            <w:tcW w:type="dxa" w:w="1080"/>
          </w:tcPr>
          <w:p>
            <w:r>
              <w:rPr>
                <w:rFonts w:ascii="Calibri" w:hAnsi="Calibri"/>
                <w:sz w:val="22"/>
              </w:rPr>
              <w:t>Higher than Q1 (3,858 Mboe/d); FY +7–10%</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~+0.7% above implied midpoint</w:t>
            </w:r>
          </w:p>
        </w:tc>
      </w:tr>
      <w:tr>
        <w:tc>
          <w:tcPr>
            <w:tcW w:type="dxa" w:w="1080"/>
          </w:tcPr>
          <w:p>
            <w:r>
              <w:rPr>
                <w:rFonts w:ascii="Calibri" w:hAnsi="Calibri"/>
                <w:sz w:val="22"/>
              </w:rPr>
              <w:t>Production — FY2026 (Mboe/d)</w:t>
            </w:r>
          </w:p>
        </w:tc>
        <w:tc>
          <w:tcPr>
            <w:tcW w:type="dxa" w:w="1080"/>
          </w:tcPr>
          <w:p>
            <w:r>
              <w:rPr>
                <w:rFonts w:ascii="Calibri" w:hAnsi="Calibri"/>
                <w:sz w:val="22"/>
              </w:rPr>
              <w:t>4,010.4</w:t>
            </w:r>
          </w:p>
        </w:tc>
        <w:tc>
          <w:tcPr>
            <w:tcW w:type="dxa" w:w="1080"/>
          </w:tcPr>
          <w:p>
            <w:r>
              <w:rPr>
                <w:rFonts w:ascii="Calibri" w:hAnsi="Calibri"/>
                <w:sz w:val="22"/>
              </w:rPr>
              <w:t>4,024.7</w:t>
            </w:r>
          </w:p>
        </w:tc>
        <w:tc>
          <w:tcPr>
            <w:tcW w:type="dxa" w:w="1080"/>
          </w:tcPr>
          <w:p>
            <w:r>
              <w:rPr>
                <w:rFonts w:ascii="Calibri" w:hAnsi="Calibri"/>
                <w:sz w:val="22"/>
              </w:rPr>
              <w:t>+0.4%</w:t>
            </w:r>
          </w:p>
        </w:tc>
        <w:tc>
          <w:tcPr>
            <w:tcW w:type="dxa" w:w="1080"/>
          </w:tcPr>
          <w:p>
            <w:r>
              <w:rPr>
                <w:rFonts w:ascii="Calibri" w:hAnsi="Calibri"/>
                <w:sz w:val="22"/>
              </w:rPr>
              <w:t>FY +7–10% YoY (vs. ~3,750 Mboe/d in 2025)</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Within guidance range</w:t>
            </w:r>
          </w:p>
        </w:tc>
      </w:tr>
      <w:tr>
        <w:tc>
          <w:tcPr>
            <w:tcW w:type="dxa" w:w="1080"/>
          </w:tcPr>
          <w:p>
            <w:r>
              <w:rPr>
                <w:rFonts w:ascii="Calibri" w:hAnsi="Calibri"/>
                <w:sz w:val="22"/>
              </w:rPr>
              <w:t>Free Cash Flow — Q2 2026 ($B)</w:t>
            </w:r>
          </w:p>
        </w:tc>
        <w:tc>
          <w:tcPr>
            <w:tcW w:type="dxa" w:w="1080"/>
          </w:tcPr>
          <w:p>
            <w:r>
              <w:rPr>
                <w:rFonts w:ascii="Calibri" w:hAnsi="Calibri"/>
                <w:sz w:val="22"/>
              </w:rPr>
              <w:t>$12.6B</w:t>
            </w:r>
          </w:p>
        </w:tc>
        <w:tc>
          <w:tcPr>
            <w:tcW w:type="dxa" w:w="1080"/>
          </w:tcPr>
          <w:p>
            <w:r>
              <w:rPr>
                <w:rFonts w:ascii="Calibri" w:hAnsi="Calibri"/>
                <w:sz w:val="22"/>
              </w:rPr>
              <w:t>$14.8B</w:t>
            </w:r>
          </w:p>
        </w:tc>
        <w:tc>
          <w:tcPr>
            <w:tcW w:type="dxa" w:w="1080"/>
          </w:tcPr>
          <w:p>
            <w:r>
              <w:rPr>
                <w:rFonts w:ascii="Calibri" w:hAnsi="Calibri"/>
                <w:b/>
                <w:color w:val="30A46C"/>
                <w:sz w:val="22"/>
              </w:rPr>
              <w:t>+17.5%</w:t>
            </w:r>
          </w:p>
        </w:tc>
        <w:tc>
          <w:tcPr>
            <w:tcW w:type="dxa" w:w="1080"/>
          </w:tcPr>
          <w:p>
            <w:r>
              <w:rPr>
                <w:rFonts w:ascii="Calibri" w:hAnsi="Calibri"/>
                <w:sz w:val="22"/>
              </w:rPr>
              <w:t>$6B FY at $70 Brent</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Consensus well above $70 Brent guidance (reflects higher realized prices)</w:t>
            </w:r>
          </w:p>
        </w:tc>
      </w:tr>
      <w:tr>
        <w:tc>
          <w:tcPr>
            <w:tcW w:type="dxa" w:w="1080"/>
          </w:tcPr>
          <w:p>
            <w:r>
              <w:rPr>
                <w:rFonts w:ascii="Calibri" w:hAnsi="Calibri"/>
                <w:sz w:val="22"/>
              </w:rPr>
              <w:t>Free Cash Flow — FY2026 ($B)</w:t>
            </w:r>
          </w:p>
        </w:tc>
        <w:tc>
          <w:tcPr>
            <w:tcW w:type="dxa" w:w="1080"/>
          </w:tcPr>
          <w:p>
            <w:r>
              <w:rPr>
                <w:rFonts w:ascii="Calibri" w:hAnsi="Calibri"/>
                <w:sz w:val="22"/>
              </w:rPr>
              <w:t>$32.5B</w:t>
            </w:r>
          </w:p>
        </w:tc>
        <w:tc>
          <w:tcPr>
            <w:tcW w:type="dxa" w:w="1080"/>
          </w:tcPr>
          <w:p>
            <w:r>
              <w:rPr>
                <w:rFonts w:ascii="Calibri" w:hAnsi="Calibri"/>
                <w:sz w:val="22"/>
              </w:rPr>
              <w:t>$34.2B</w:t>
            </w:r>
          </w:p>
        </w:tc>
        <w:tc>
          <w:tcPr>
            <w:tcW w:type="dxa" w:w="1080"/>
          </w:tcPr>
          <w:p>
            <w:r>
              <w:rPr>
                <w:rFonts w:ascii="Calibri" w:hAnsi="Calibri"/>
                <w:b/>
                <w:color w:val="30A46C"/>
                <w:sz w:val="22"/>
              </w:rPr>
              <w:t>+5.2%</w:t>
            </w:r>
          </w:p>
        </w:tc>
        <w:tc>
          <w:tcPr>
            <w:tcW w:type="dxa" w:w="1080"/>
          </w:tcPr>
          <w:p>
            <w:r>
              <w:rPr>
                <w:rFonts w:ascii="Calibri" w:hAnsi="Calibri"/>
                <w:sz w:val="22"/>
              </w:rPr>
              <w:t>$6B at $70 Brent</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Consensus reflects ~$85–90 Brent assumption; not a guidance miss</w:t>
            </w:r>
          </w:p>
        </w:tc>
      </w:tr>
      <w:tr>
        <w:tc>
          <w:tcPr>
            <w:tcW w:type="dxa" w:w="1080"/>
          </w:tcPr>
          <w:p>
            <w:r>
              <w:rPr>
                <w:rFonts w:ascii="Calibri" w:hAnsi="Calibri"/>
                <w:sz w:val="22"/>
              </w:rPr>
              <w:t>CapEx — FY2026 ($B)</w:t>
            </w:r>
          </w:p>
        </w:tc>
        <w:tc>
          <w:tcPr>
            <w:tcW w:type="dxa" w:w="1080"/>
          </w:tcPr>
          <w:p>
            <w:r>
              <w:rPr>
                <w:rFonts w:ascii="Calibri" w:hAnsi="Calibri"/>
                <w:sz w:val="22"/>
              </w:rPr>
              <w:t>$18.1B</w:t>
            </w:r>
          </w:p>
        </w:tc>
        <w:tc>
          <w:tcPr>
            <w:tcW w:type="dxa" w:w="1080"/>
          </w:tcPr>
          <w:p>
            <w:r>
              <w:rPr>
                <w:rFonts w:ascii="Calibri" w:hAnsi="Calibri"/>
                <w:sz w:val="22"/>
              </w:rPr>
              <w:t>$18.1B</w:t>
            </w:r>
          </w:p>
        </w:tc>
        <w:tc>
          <w:tcPr>
            <w:tcW w:type="dxa" w:w="1080"/>
          </w:tcPr>
          <w:p>
            <w:r>
              <w:rPr>
                <w:rFonts w:ascii="Calibri" w:hAnsi="Calibri"/>
                <w:sz w:val="22"/>
              </w:rPr>
              <w:t>0.0%</w:t>
            </w:r>
          </w:p>
        </w:tc>
        <w:tc>
          <w:tcPr>
            <w:tcW w:type="dxa" w:w="1080"/>
          </w:tcPr>
          <w:p>
            <w:r>
              <w:rPr>
                <w:rFonts w:ascii="Calibri" w:hAnsi="Calibri"/>
                <w:sz w:val="22"/>
              </w:rPr>
              <w:t>$18–19B</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At low end of guidance; capital discipline intact</w:t>
            </w:r>
          </w:p>
        </w:tc>
      </w:tr>
    </w:tbl>
    <w:p>
      <w:r>
        <w:rPr>
          <w:rFonts w:ascii="Calibri" w:hAnsi="Calibri"/>
          <w:i/>
          <w:color w:val="525866"/>
          <w:sz w:val="22"/>
        </w:rPr>
        <w:t>Source: Visible Alpha Consensus and Actuals Data. May 6, 2026 baseline = 5 trading days post Q1 2026 earnings (May 1, 2026). Estimate revisions are tracking higher oil prices rather than diverging from guidance — the gap between FY consensus FCF ($34.2B) and management's $6B guidance is entirely explained by the price assumption difference ($85–90 Brent realized vs. $70 Brent guidance). Production estimates are essentially flat since the Q1 print, consistent with management's reaffirmed guidance.</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b/>
          <w:color w:val="525866"/>
          <w:sz w:val="22"/>
        </w:rPr>
        <w:t xml:space="preserve">CVX has </w:t>
      </w:r>
      <w:r>
        <w:rPr>
          <w:rFonts w:ascii="Calibri" w:hAnsi="Calibri"/>
          <w:b/>
          <w:color w:val="E5484D"/>
          <w:sz w:val="22"/>
        </w:rPr>
        <w:t>significantly underperformed</w:t>
      </w:r>
      <w:r>
        <w:rPr>
          <w:rFonts w:ascii="Calibri" w:hAnsi="Calibri"/>
          <w:b/>
          <w:color w:val="525866"/>
          <w:sz w:val="22"/>
        </w:rPr>
        <w:t xml:space="preserve"> both the S&amp;P 500 (+2.9%) and XLE (+0.2%) since Q1 earnings, returning only +0.9% on a base of 100 — driven by a sharp mid-June selloff (stock fell from ~$197 to ~$165 between May 19 and June 30) that was not recovered until mid-July; the underperformance appears sentiment/multiple-driven rather than earnings-driven, creating a potentially attractive setup into Q2 results.</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CVX vs. XLE (Energy Select Sector SPDR) vs. S&amp;P 500 (SPY) — Indexed to 100 at Q1 2026 Earnings Date (May 1, 2026). Source: Stock Price Data.</w:t>
      </w:r>
    </w:p>
    <w:p>
      <w:r>
        <w:rPr>
          <w:rFonts w:ascii="Calibri" w:hAnsi="Calibri"/>
          <w:b/>
          <w:color w:val="525866"/>
          <w:sz w:val="22"/>
        </w:rPr>
        <w:t xml:space="preserve">Key observations: </w:t>
      </w:r>
      <w:r>
        <w:rPr>
          <w:rFonts w:ascii="Calibri" w:hAnsi="Calibri"/>
          <w:color w:val="525866"/>
          <w:sz w:val="22"/>
        </w:rPr>
        <w:t>(1) CVX peaked at ~$197 on May 19 (WTI near $89/bbl, Bernstein conference bullish tone) before a sharp 16% selloff through June 30 as oil prices pulled back and the market digested the geopolitical uncertainty; (2) the stock recovered strongly in July (+16% from the June 30 trough to July 24 peak of ~$195), suggesting the selloff was overdone; (3) XLE broadly tracked CVX's pattern but with less volatility, while SPY was more resilient throughout; (4) the mid-June selloff coincided with the Microsoft power deal announcement (June 22) and JPM conference (June 23), suggesting the market was not yet pricing in the power business optionality. Material events marked: Q1 Earnings (May 1), Bernstein Conference (May 28), Microsoft Power Deal Announcement (June 22), JP Morgan Conference (June 23).</w:t>
      </w:r>
    </w:p>
    <w:p>
      <w:pPr>
        <w:pStyle w:val="Heading2"/>
      </w:pPr>
      <w:r>
        <w:rPr>
          <w:rFonts w:ascii="Calibri" w:hAnsi="Calibri"/>
          <w:b/>
          <w:color w:val="3B4259"/>
          <w:sz w:val="28"/>
        </w:rPr>
        <w:t>6. Peer Commentaries — Q2 2026 Read-Throughs</w:t>
      </w:r>
    </w:p>
    <w:p>
      <w:r>
        <w:rPr>
          <w:rFonts w:ascii="Calibri" w:hAnsi="Calibri"/>
          <w:b/>
          <w:color w:val="525866"/>
          <w:sz w:val="22"/>
        </w:rPr>
        <w:t xml:space="preserve">Key Takeaway: </w:t>
      </w:r>
      <w:r>
        <w:rPr>
          <w:rFonts w:ascii="Calibri" w:hAnsi="Calibri"/>
          <w:b/>
          <w:color w:val="525866"/>
          <w:sz w:val="22"/>
        </w:rPr>
        <w:t xml:space="preserve">Peer commentary from Q1 2026 earnings calls (May 2026) and subsequent conferences is </w:t>
      </w:r>
      <w:r>
        <w:rPr>
          <w:rFonts w:ascii="Calibri" w:hAnsi="Calibri"/>
          <w:b/>
          <w:color w:val="525866"/>
          <w:sz w:val="22"/>
        </w:rPr>
        <w:t>broadly constructive for CVX's Q2 setup</w:t>
      </w:r>
      <w:r>
        <w:rPr>
          <w:rFonts w:ascii="Calibri" w:hAnsi="Calibri"/>
          <w:b/>
          <w:color w:val="525866"/>
          <w:sz w:val="22"/>
        </w:rPr>
        <w:t>: XOM flagged downstream margins playing out "very well" into Q2, OXY highlighted strong Permian unconventional performance and raised midstream guidance, EOG pointed to a $60 WTI floor and $80 average over the next few years, and oilfield services peers BKR and SLB (reporting Q2 2026 results) confirmed international upstream activity is recovering with deepwater FIDs accelerating — all positive read-throughs for CVX's integrated model.</w:t>
      </w:r>
    </w:p>
    <w:p>
      <w:pPr>
        <w:pStyle w:val="Heading3"/>
      </w:pPr>
      <w:r>
        <w:rPr>
          <w:rFonts w:ascii="Calibri" w:hAnsi="Calibri"/>
          <w:b/>
          <w:color w:val="3B4259"/>
          <w:sz w:val="24"/>
        </w:rPr>
        <w:t>ExxonMobil (XOM) — Q1 2026 Earnings Call (May 1, 2026)</w:t>
      </w:r>
    </w:p>
    <w:p>
      <w:pPr>
        <w:pStyle w:val="ListBullet"/>
        <w:ind w:left="360" w:hanging="360"/>
      </w:pPr>
      <w:r>
        <w:rPr>
          <w:rFonts w:ascii="Calibri" w:hAnsi="Calibri"/>
          <w:b/>
          <w:color w:val="525866"/>
          <w:sz w:val="22"/>
        </w:rPr>
        <w:t xml:space="preserve">Downstream margins into Q2: </w:t>
      </w:r>
      <w:r>
        <w:rPr>
          <w:rFonts w:ascii="Calibri" w:hAnsi="Calibri"/>
          <w:color w:val="525866"/>
          <w:sz w:val="22"/>
        </w:rPr>
        <w:t xml:space="preserve">XOM stated downstream refining margins are expected to play out "very well for us as we move through April and into the second quarter." Gulf Coast refineries ran at record utilization rates in Q1. Energy Products segment made $2.8B in Q1, up $2B YoY. </w:t>
      </w:r>
    </w:p>
    <w:p>
      <w:pPr>
        <w:pStyle w:val="ListBullet"/>
        <w:ind w:left="360" w:hanging="360"/>
      </w:pPr>
      <w:r>
        <w:rPr>
          <w:rFonts w:ascii="Calibri" w:hAnsi="Calibri"/>
          <w:b/>
          <w:i/>
          <w:color w:val="525866"/>
          <w:sz w:val="22"/>
        </w:rPr>
        <w:t xml:space="preserve">CVX read-through: </w:t>
      </w:r>
      <w:r>
        <w:rPr>
          <w:rFonts w:ascii="Calibri" w:hAnsi="Calibri"/>
          <w:i/>
          <w:color w:val="525866"/>
          <w:sz w:val="22"/>
        </w:rPr>
        <w:t>Positive — CVX's own Q1 call flagged equity crude throughput more than doubling YoY to 40% in Q2 and Asia refineries running &gt;40% CVX equity crude; XOM's strong downstream commentary validates the integrated value capture thesis.</w:t>
      </w:r>
    </w:p>
    <w:p>
      <w:pPr>
        <w:pStyle w:val="ListBullet"/>
        <w:ind w:left="360" w:hanging="360"/>
      </w:pPr>
      <w:r>
        <w:rPr>
          <w:rFonts w:ascii="Calibri" w:hAnsi="Calibri"/>
          <w:b/>
          <w:color w:val="525866"/>
          <w:sz w:val="22"/>
        </w:rPr>
        <w:t xml:space="preserve">Permian production: </w:t>
      </w:r>
      <w:r>
        <w:rPr>
          <w:rFonts w:ascii="Calibri" w:hAnsi="Calibri"/>
          <w:color w:val="525866"/>
          <w:sz w:val="22"/>
        </w:rPr>
        <w:t>XOM remains on track to grow full-year Permian production to 1.8 million boe/d in 2026, running "pretty full speed." Guyana achieved record production levels.</w:t>
      </w:r>
    </w:p>
    <w:p>
      <w:pPr>
        <w:pStyle w:val="ListBullet"/>
        <w:ind w:left="360" w:hanging="360"/>
      </w:pPr>
      <w:r>
        <w:rPr>
          <w:rFonts w:ascii="Calibri" w:hAnsi="Calibri"/>
          <w:b/>
          <w:i/>
          <w:color w:val="525866"/>
          <w:sz w:val="22"/>
        </w:rPr>
        <w:t xml:space="preserve">CVX read-through: </w:t>
      </w:r>
      <w:r>
        <w:rPr>
          <w:rFonts w:ascii="Calibri" w:hAnsi="Calibri"/>
          <w:i/>
          <w:color w:val="525866"/>
          <w:sz w:val="22"/>
        </w:rPr>
        <w:t>Positive — CVX's Permian is plateaued at ~1 million boe/d by design (FCF optimization), but XOM's Guyana record production is a direct read-through for CVX's Hess-acquired Guyana stake.</w:t>
      </w:r>
    </w:p>
    <w:p>
      <w:pPr>
        <w:pStyle w:val="ListBullet"/>
        <w:ind w:left="360" w:hanging="360"/>
      </w:pPr>
      <w:r>
        <w:rPr>
          <w:rFonts w:ascii="Calibri" w:hAnsi="Calibri"/>
          <w:b/>
          <w:color w:val="525866"/>
          <w:sz w:val="22"/>
        </w:rPr>
        <w:t xml:space="preserve">Geopolitical / oil price: </w:t>
      </w:r>
      <w:r>
        <w:rPr>
          <w:rFonts w:ascii="Calibri" w:hAnsi="Calibri"/>
          <w:color w:val="525866"/>
          <w:sz w:val="22"/>
        </w:rPr>
        <w:t>XOM expects continued upward price pressure if Strait of Hormuz remains closed, with a 1–2 month lag after reopening before normal flows resume, followed by inventory replenishment demand. Risk premium question "yet to be answered."</w:t>
      </w:r>
    </w:p>
    <w:p>
      <w:pPr>
        <w:pStyle w:val="ListBullet"/>
        <w:ind w:left="360" w:hanging="360"/>
      </w:pPr>
      <w:r>
        <w:rPr>
          <w:rFonts w:ascii="Calibri" w:hAnsi="Calibri"/>
          <w:b/>
          <w:i/>
          <w:color w:val="525866"/>
          <w:sz w:val="22"/>
        </w:rPr>
        <w:t xml:space="preserve">CVX read-through: </w:t>
      </w:r>
      <w:r>
        <w:rPr>
          <w:rFonts w:ascii="Calibri" w:hAnsi="Calibri"/>
          <w:i/>
          <w:color w:val="525866"/>
          <w:sz w:val="22"/>
        </w:rPr>
        <w:t>Positive for Q2 realized prices — CVX's management made the same call at Bernstein (May 28), noting "more upward pressure" into June and July.</w:t>
      </w:r>
    </w:p>
    <w:p>
      <w:pPr>
        <w:pStyle w:val="ListBullet"/>
        <w:ind w:left="360" w:hanging="360"/>
      </w:pPr>
      <w:r>
        <w:rPr>
          <w:rFonts w:ascii="Calibri" w:hAnsi="Calibri"/>
          <w:b/>
          <w:color w:val="525866"/>
          <w:sz w:val="22"/>
        </w:rPr>
        <w:t xml:space="preserve">LNG / Golden Pass: </w:t>
      </w:r>
      <w:r>
        <w:rPr>
          <w:rFonts w:ascii="Calibri" w:hAnsi="Calibri"/>
          <w:color w:val="525866"/>
          <w:sz w:val="22"/>
        </w:rPr>
        <w:t>XOM achieved first LNG at Golden Pass Train 1 in March 2026; Train 2 mechanically complete by year-end; Train 3 by Q2 2027. LNG market tighter in short-to-medium term due to Qatar infrastructure damage (3–5 year repair timeline for two trains = ~3% of XOM global production).</w:t>
      </w:r>
    </w:p>
    <w:p>
      <w:pPr>
        <w:pStyle w:val="ListBullet"/>
        <w:ind w:left="360" w:hanging="360"/>
      </w:pPr>
      <w:r>
        <w:rPr>
          <w:rFonts w:ascii="Calibri" w:hAnsi="Calibri"/>
          <w:b/>
          <w:i/>
          <w:color w:val="525866"/>
          <w:sz w:val="22"/>
        </w:rPr>
        <w:t xml:space="preserve">CVX read-through: </w:t>
      </w:r>
      <w:r>
        <w:rPr>
          <w:rFonts w:ascii="Calibri" w:hAnsi="Calibri"/>
          <w:i/>
          <w:color w:val="525866"/>
          <w:sz w:val="22"/>
        </w:rPr>
        <w:t>Positive for CVX's Australian LNG assets — tighter global LNG supply supports pricing for CVX's Gorgon and Wheatstone volumes.</w:t>
      </w:r>
    </w:p>
    <w:p>
      <w:pPr>
        <w:pStyle w:val="Heading3"/>
      </w:pPr>
      <w:r>
        <w:rPr>
          <w:rFonts w:ascii="Calibri" w:hAnsi="Calibri"/>
          <w:b/>
          <w:color w:val="3B4259"/>
          <w:sz w:val="24"/>
        </w:rPr>
        <w:t>Occidental Petroleum (OXY) — Q1 2026 Earnings Call (May 6, 2026)</w:t>
      </w:r>
    </w:p>
    <w:p>
      <w:pPr>
        <w:pStyle w:val="ListBullet"/>
        <w:ind w:left="360" w:hanging="360"/>
      </w:pPr>
      <w:r>
        <w:rPr>
          <w:rFonts w:ascii="Calibri" w:hAnsi="Calibri"/>
          <w:b/>
          <w:color w:val="525866"/>
          <w:sz w:val="22"/>
        </w:rPr>
        <w:t xml:space="preserve">Q2 production outlook: </w:t>
      </w:r>
      <w:r>
        <w:rPr>
          <w:rFonts w:ascii="Calibri" w:hAnsi="Calibri"/>
          <w:color w:val="525866"/>
          <w:sz w:val="22"/>
        </w:rPr>
        <w:t>OXY guided Permian unconventional production to increase in Q2, supported by higher activity and resilient base performance. Full-year production guidance midpoint adjusted to 1.44 million boe/d (Middle East constraints at Al Hosn + EOR portfolio optimization). Domestic outperformance of +33,000 boe/d vs. guidance midpoint in Q1.</w:t>
      </w:r>
    </w:p>
    <w:p>
      <w:pPr>
        <w:pStyle w:val="ListBullet"/>
        <w:ind w:left="360" w:hanging="360"/>
      </w:pPr>
      <w:r>
        <w:rPr>
          <w:rFonts w:ascii="Calibri" w:hAnsi="Calibri"/>
          <w:b/>
          <w:i/>
          <w:color w:val="525866"/>
          <w:sz w:val="22"/>
        </w:rPr>
        <w:t xml:space="preserve">CVX read-through: </w:t>
      </w:r>
      <w:r>
        <w:rPr>
          <w:rFonts w:ascii="Calibri" w:hAnsi="Calibri"/>
          <w:i/>
          <w:color w:val="525866"/>
          <w:sz w:val="22"/>
        </w:rPr>
        <w:t>Positive — OXY's Permian strength is a direct read-through for CVX's Permian plateau performance. CVX's Permian is solidly above 1 million boe/d; OXY's domestic beat suggests basin-wide well performance remains strong.</w:t>
      </w:r>
    </w:p>
    <w:p>
      <w:pPr>
        <w:pStyle w:val="ListBullet"/>
        <w:ind w:left="360" w:hanging="360"/>
      </w:pPr>
      <w:r>
        <w:rPr>
          <w:rFonts w:ascii="Calibri" w:hAnsi="Calibri"/>
          <w:b/>
          <w:color w:val="525866"/>
          <w:sz w:val="22"/>
        </w:rPr>
        <w:t xml:space="preserve">Midstream / integration: </w:t>
      </w:r>
      <w:r>
        <w:rPr>
          <w:rFonts w:ascii="Calibri" w:hAnsi="Calibri"/>
          <w:color w:val="525866"/>
          <w:sz w:val="22"/>
        </w:rPr>
        <w:t>OXY raised full-year Midstream guidance midpoint to $1.1B (+$800M vs. prior guidance), driven by gas marketing optimization on wide Waha-to-Gulf Coast spread. Q2 midstream expected to remain strong.</w:t>
      </w:r>
    </w:p>
    <w:p>
      <w:pPr>
        <w:pStyle w:val="ListBullet"/>
        <w:ind w:left="360" w:hanging="360"/>
      </w:pPr>
      <w:r>
        <w:rPr>
          <w:rFonts w:ascii="Calibri" w:hAnsi="Calibri"/>
          <w:b/>
          <w:i/>
          <w:color w:val="525866"/>
          <w:sz w:val="22"/>
        </w:rPr>
        <w:t xml:space="preserve">CVX read-through: </w:t>
      </w:r>
      <w:r>
        <w:rPr>
          <w:rFonts w:ascii="Calibri" w:hAnsi="Calibri"/>
          <w:i/>
          <w:color w:val="525866"/>
          <w:sz w:val="22"/>
        </w:rPr>
        <w:t>Positive — CVX holds excess Permian pipeline takeaway capacity and benefits from negative Waha gas prices as a feedstock cost advantage for the data center power project. Wide Waha spread is a tailwind for CVX's integrated gas marketing.</w:t>
      </w:r>
    </w:p>
    <w:p>
      <w:pPr>
        <w:pStyle w:val="ListBullet"/>
        <w:ind w:left="360" w:hanging="360"/>
      </w:pPr>
      <w:r>
        <w:rPr>
          <w:rFonts w:ascii="Calibri" w:hAnsi="Calibri"/>
          <w:b/>
          <w:color w:val="525866"/>
          <w:sz w:val="22"/>
        </w:rPr>
        <w:t xml:space="preserve">Oil price / hedging: </w:t>
      </w:r>
      <w:r>
        <w:rPr>
          <w:rFonts w:ascii="Calibri" w:hAnsi="Calibri"/>
          <w:color w:val="525866"/>
          <w:sz w:val="22"/>
        </w:rPr>
        <w:t>OXY put in place modest costless collars (100K bbl/d, $55 floor / ~$76 ceiling, March–Dec 2026) before the conflict escalation, then stopped adding hedges as prices moved higher. CFO noted higher oil prices generating incremental cash flow supporting deleveraging. CEO cited WTI long-run average of $76.32 in real terms.</w:t>
      </w:r>
    </w:p>
    <w:p>
      <w:pPr>
        <w:pStyle w:val="ListBullet"/>
        <w:ind w:left="360" w:hanging="360"/>
      </w:pPr>
      <w:r>
        <w:rPr>
          <w:rFonts w:ascii="Calibri" w:hAnsi="Calibri"/>
          <w:b/>
          <w:i/>
          <w:color w:val="525866"/>
          <w:sz w:val="22"/>
        </w:rPr>
        <w:t xml:space="preserve">CVX read-through: </w:t>
      </w:r>
      <w:r>
        <w:rPr>
          <w:rFonts w:ascii="Calibri" w:hAnsi="Calibri"/>
          <w:i/>
          <w:color w:val="525866"/>
          <w:sz w:val="22"/>
        </w:rPr>
        <w:t>Neutral — CVX is unhedged and benefits fully from higher prices; OXY's collar ceiling of ~$76 WTI means CVX captures more upside in the current environment.</w:t>
      </w:r>
    </w:p>
    <w:p>
      <w:pPr>
        <w:pStyle w:val="ListBullet"/>
        <w:ind w:left="360" w:hanging="360"/>
      </w:pPr>
      <w:r>
        <w:rPr>
          <w:rFonts w:ascii="Calibri" w:hAnsi="Calibri"/>
          <w:b/>
          <w:color w:val="525866"/>
          <w:sz w:val="22"/>
        </w:rPr>
        <w:t xml:space="preserve">Free cash flow: </w:t>
      </w:r>
      <w:r>
        <w:rPr>
          <w:rFonts w:ascii="Calibri" w:hAnsi="Calibri"/>
          <w:color w:val="525866"/>
          <w:sz w:val="22"/>
        </w:rPr>
        <w:t>OXY generated ~$1.7B FCF before working capital in Q1 (52% higher YoY despite similar oil prices), targeting &gt;$1.2B incremental FCF in 2026 vs. 2025 before price impacts.</w:t>
      </w:r>
    </w:p>
    <w:p>
      <w:pPr>
        <w:pStyle w:val="ListBullet"/>
        <w:ind w:left="360" w:hanging="360"/>
      </w:pPr>
      <w:r>
        <w:rPr>
          <w:rFonts w:ascii="Calibri" w:hAnsi="Calibri"/>
          <w:b/>
          <w:i/>
          <w:color w:val="525866"/>
          <w:sz w:val="22"/>
        </w:rPr>
        <w:t xml:space="preserve">CVX read-through: </w:t>
      </w:r>
      <w:r>
        <w:rPr>
          <w:rFonts w:ascii="Calibri" w:hAnsi="Calibri"/>
          <w:i/>
          <w:color w:val="525866"/>
          <w:sz w:val="22"/>
        </w:rPr>
        <w:t>Positive — OXY's FCF improvement trajectory validates the sector-wide efficiency gains narrative; CVX's structural cost reduction program ($3–4B target) should produce similar durable FCF improvement.</w:t>
      </w:r>
    </w:p>
    <w:p>
      <w:pPr>
        <w:pStyle w:val="Heading3"/>
      </w:pPr>
      <w:r>
        <w:rPr>
          <w:rFonts w:ascii="Calibri" w:hAnsi="Calibri"/>
          <w:b/>
          <w:color w:val="3B4259"/>
          <w:sz w:val="24"/>
        </w:rPr>
        <w:t>EOG Resources (EOG) — Q1 2026 Earnings Call (May 6, 2026) &amp; JP Morgan Conference (June 23, 2026)</w:t>
      </w:r>
    </w:p>
    <w:p>
      <w:pPr>
        <w:pStyle w:val="ListBullet"/>
        <w:ind w:left="360" w:hanging="360"/>
      </w:pPr>
      <w:r>
        <w:rPr>
          <w:rFonts w:ascii="Calibri" w:hAnsi="Calibri"/>
          <w:b/>
          <w:color w:val="525866"/>
          <w:sz w:val="22"/>
        </w:rPr>
        <w:t xml:space="preserve">Oil price floor / macro: </w:t>
      </w:r>
      <w:r>
        <w:rPr>
          <w:rFonts w:ascii="Calibri" w:hAnsi="Calibri"/>
          <w:color w:val="525866"/>
          <w:sz w:val="22"/>
        </w:rPr>
        <w:t>EOG sees a $60 WTI floor in the near-to-medium term driven by SPR replenishment demand (U.S., Europe, China), with an average of ~$80 WTI over the next couple of years. Strait of Hormuz disruptions estimated to remove ~900 million barrels from global markets through June 2026; even a quick resolution requires 3–4 months to restore 90–95% of prior flows. Post-conflict outlook includes higher geopolitical risk premium and limited spare capacity.</w:t>
      </w:r>
    </w:p>
    <w:p>
      <w:pPr>
        <w:pStyle w:val="ListBullet"/>
        <w:ind w:left="360" w:hanging="360"/>
      </w:pPr>
      <w:r>
        <w:rPr>
          <w:rFonts w:ascii="Calibri" w:hAnsi="Calibri"/>
          <w:b/>
          <w:i/>
          <w:color w:val="525866"/>
          <w:sz w:val="22"/>
        </w:rPr>
        <w:t xml:space="preserve">CVX read-through: </w:t>
      </w:r>
      <w:r>
        <w:rPr>
          <w:rFonts w:ascii="Calibri" w:hAnsi="Calibri"/>
          <w:i/>
          <w:color w:val="525866"/>
          <w:sz w:val="22"/>
        </w:rPr>
        <w:t>Positive — EOG's $60 floor / $80 average thesis directly supports CVX's FCF guidance (set at $70 Brent) and management's confidence in the free cash flow inflection. If EOG is right, CVX's FY2026 FCF could materially exceed the $6B guidance.</w:t>
      </w:r>
    </w:p>
    <w:p>
      <w:pPr>
        <w:pStyle w:val="ListBullet"/>
        <w:ind w:left="360" w:hanging="360"/>
      </w:pPr>
      <w:r>
        <w:rPr>
          <w:rFonts w:ascii="Calibri" w:hAnsi="Calibri"/>
          <w:b/>
          <w:color w:val="525866"/>
          <w:sz w:val="22"/>
        </w:rPr>
        <w:t xml:space="preserve">Permian / Delaware Basin: </w:t>
      </w:r>
      <w:r>
        <w:rPr>
          <w:rFonts w:ascii="Calibri" w:hAnsi="Calibri"/>
          <w:color w:val="525866"/>
          <w:sz w:val="22"/>
        </w:rPr>
        <w:t>EOG confirmed Delaware Basin productivity is improving in 2026 after a deliberate 2025 step-down (by design, not degradation). Well performance "very, very, very stable." Waha gas prices expected to turn positive by September/October 2026 as 5–6 Bcf/d of new egress comes online.</w:t>
      </w:r>
    </w:p>
    <w:p>
      <w:pPr>
        <w:pStyle w:val="ListBullet"/>
        <w:ind w:left="360" w:hanging="360"/>
      </w:pPr>
      <w:r>
        <w:rPr>
          <w:rFonts w:ascii="Calibri" w:hAnsi="Calibri"/>
          <w:b/>
          <w:i/>
          <w:color w:val="525866"/>
          <w:sz w:val="22"/>
        </w:rPr>
        <w:t xml:space="preserve">CVX read-through: </w:t>
      </w:r>
      <w:r>
        <w:rPr>
          <w:rFonts w:ascii="Calibri" w:hAnsi="Calibri"/>
          <w:i/>
          <w:color w:val="525866"/>
          <w:sz w:val="22"/>
        </w:rPr>
        <w:t>Positive — Waha price recovery is a direct tailwind for CVX's Permian gas economics and the data center power project economics (CVX currently benefits from negative Waha as a feedstock advantage, but positive Waha improves overall Permian gas revenue).</w:t>
      </w:r>
    </w:p>
    <w:p>
      <w:pPr>
        <w:pStyle w:val="ListBullet"/>
        <w:ind w:left="360" w:hanging="360"/>
      </w:pPr>
      <w:r>
        <w:rPr>
          <w:rFonts w:ascii="Calibri" w:hAnsi="Calibri"/>
          <w:b/>
          <w:color w:val="525866"/>
          <w:sz w:val="22"/>
        </w:rPr>
        <w:t xml:space="preserve">Capital discipline / share buybacks: </w:t>
      </w:r>
      <w:r>
        <w:rPr>
          <w:rFonts w:ascii="Calibri" w:hAnsi="Calibri"/>
          <w:color w:val="525866"/>
          <w:sz w:val="22"/>
        </w:rPr>
        <w:t>EOG repurchased 2.3 million additional shares from April 1–28 (on top of 3.2M in Q1), reflecting "exceptional value" in the stock. Targeting at least 70% of FCF returned to shareholders in 2026 (record annual cash return). Maintaining $6.5B capex budget flat despite higher oil prices.</w:t>
      </w:r>
    </w:p>
    <w:p>
      <w:pPr>
        <w:pStyle w:val="ListBullet"/>
        <w:ind w:left="360" w:hanging="360"/>
      </w:pPr>
      <w:r>
        <w:rPr>
          <w:rFonts w:ascii="Calibri" w:hAnsi="Calibri"/>
          <w:b/>
          <w:i/>
          <w:color w:val="525866"/>
          <w:sz w:val="22"/>
        </w:rPr>
        <w:t xml:space="preserve">CVX read-through: </w:t>
      </w:r>
      <w:r>
        <w:rPr>
          <w:rFonts w:ascii="Calibri" w:hAnsi="Calibri"/>
          <w:i/>
          <w:color w:val="525866"/>
          <w:sz w:val="22"/>
        </w:rPr>
        <w:t>Positive — EOG's aggressive buyback activity at current prices signals sector-wide confidence in the FCF outlook; CVX's own buyback program ($6B returned in Q1 alone) is consistent with this posture.</w:t>
      </w:r>
    </w:p>
    <w:p>
      <w:pPr>
        <w:pStyle w:val="ListBullet"/>
        <w:ind w:left="360" w:hanging="360"/>
      </w:pPr>
      <w:r>
        <w:rPr>
          <w:rFonts w:ascii="Calibri" w:hAnsi="Calibri"/>
          <w:b/>
          <w:color w:val="525866"/>
          <w:sz w:val="22"/>
        </w:rPr>
        <w:t xml:space="preserve">LNG / natural gas: </w:t>
      </w:r>
      <w:r>
        <w:rPr>
          <w:rFonts w:ascii="Calibri" w:hAnsi="Calibri"/>
          <w:color w:val="525866"/>
          <w:sz w:val="22"/>
        </w:rPr>
        <w:t>EOG's LNG supply agreement with Cheniere expanded to full 420,000 MMBtu/d starting Q2 2026 (JKM-linked pricing). U.S. natural gas demand expected to grow 3–5% CAGR through end of decade. Global LNG oversupply risk "significantly reduced" by infrastructure damage abroad.</w:t>
      </w:r>
    </w:p>
    <w:p>
      <w:pPr>
        <w:pStyle w:val="ListBullet"/>
        <w:ind w:left="360" w:hanging="360"/>
      </w:pPr>
      <w:r>
        <w:rPr>
          <w:rFonts w:ascii="Calibri" w:hAnsi="Calibri"/>
          <w:b/>
          <w:i/>
          <w:color w:val="525866"/>
          <w:sz w:val="22"/>
        </w:rPr>
        <w:t xml:space="preserve">CVX read-through: </w:t>
      </w:r>
      <w:r>
        <w:rPr>
          <w:rFonts w:ascii="Calibri" w:hAnsi="Calibri"/>
          <w:i/>
          <w:color w:val="525866"/>
          <w:sz w:val="22"/>
        </w:rPr>
        <w:t>Positive for CVX's Australian LNG (Gorgon, Wheatstone) — tighter global LNG supply and JKM price support are direct tailwinds for CVX's LNG realizations.</w:t>
      </w:r>
    </w:p>
    <w:p>
      <w:pPr>
        <w:pStyle w:val="Heading3"/>
      </w:pPr>
      <w:r>
        <w:rPr>
          <w:rFonts w:ascii="Calibri" w:hAnsi="Calibri"/>
          <w:b/>
          <w:color w:val="3B4259"/>
          <w:sz w:val="24"/>
        </w:rPr>
        <w:t>Baker Hughes (BKR) — Q2 2026 Earnings Call (July 27, 2026)</w:t>
      </w:r>
    </w:p>
    <w:p>
      <w:pPr>
        <w:pStyle w:val="ListBullet"/>
        <w:ind w:left="360" w:hanging="360"/>
      </w:pPr>
      <w:r>
        <w:rPr>
          <w:rFonts w:ascii="Calibri" w:hAnsi="Calibri"/>
          <w:b/>
          <w:color w:val="525866"/>
          <w:sz w:val="22"/>
        </w:rPr>
        <w:t xml:space="preserve">Global upstream spending: </w:t>
      </w:r>
      <w:r>
        <w:rPr>
          <w:rFonts w:ascii="Calibri" w:hAnsi="Calibri"/>
          <w:color w:val="525866"/>
          <w:sz w:val="22"/>
        </w:rPr>
        <w:t>BKR expects global upstream spending to decline modestly YoY in 2026, with growth in Latin America, Asia, Africa, and North America land more than offset by lower spending in Europe and the Middle East. Middle East OFS revenue declined 1% sequentially in Q2 (down 10% from Q4 2025). BKR assumes Middle East activity remains broadly unchanged through year-end.</w:t>
      </w:r>
    </w:p>
    <w:p>
      <w:pPr>
        <w:pStyle w:val="ListBullet"/>
        <w:ind w:left="360" w:hanging="360"/>
      </w:pPr>
      <w:r>
        <w:rPr>
          <w:rFonts w:ascii="Calibri" w:hAnsi="Calibri"/>
          <w:b/>
          <w:i/>
          <w:color w:val="525866"/>
          <w:sz w:val="22"/>
        </w:rPr>
        <w:t xml:space="preserve">CVX read-through: </w:t>
      </w:r>
      <w:r>
        <w:rPr>
          <w:rFonts w:ascii="Calibri" w:hAnsi="Calibri"/>
          <w:i/>
          <w:color w:val="525866"/>
          <w:sz w:val="22"/>
        </w:rPr>
        <w:t>Mixed — CVX has limited direct Middle East upstream exposure (no operations in the Strait of Hormuz conflict zone), but the broader upstream spending moderation could weigh on oilfield services costs (a tailwind for CVX's cost reduction program). TCO (Kazakhstan) is outside the conflict zone and continues above nameplate capacity.</w:t>
      </w:r>
    </w:p>
    <w:p>
      <w:pPr>
        <w:pStyle w:val="ListBullet"/>
        <w:ind w:left="360" w:hanging="360"/>
      </w:pPr>
      <w:r>
        <w:rPr>
          <w:rFonts w:ascii="Calibri" w:hAnsi="Calibri"/>
          <w:b/>
          <w:color w:val="525866"/>
          <w:sz w:val="22"/>
        </w:rPr>
        <w:t xml:space="preserve">Power / AI demand: </w:t>
      </w:r>
      <w:r>
        <w:rPr>
          <w:rFonts w:ascii="Calibri" w:hAnsi="Calibri"/>
          <w:color w:val="525866"/>
          <w:sz w:val="22"/>
        </w:rPr>
        <w:t>BKR highlighted AI-driven power demand as a "step change" in electricity demand; hyperscaler capex expected to double from ~$370B in 2025 to ~$750B by 2028. S&amp;P Global forecasts data center power demand growing at 18% CAGR through 2030 (reaching ~1,850 TWh). BKR secured multiple awards for gas turbines and compression equipment supporting LNG and power infrastructure.</w:t>
      </w:r>
    </w:p>
    <w:p>
      <w:pPr>
        <w:pStyle w:val="ListBullet"/>
        <w:ind w:left="360" w:hanging="360"/>
      </w:pPr>
      <w:r>
        <w:rPr>
          <w:rFonts w:ascii="Calibri" w:hAnsi="Calibri"/>
          <w:b/>
          <w:i/>
          <w:color w:val="525866"/>
          <w:sz w:val="22"/>
        </w:rPr>
        <w:t xml:space="preserve">CVX read-through: </w:t>
      </w:r>
      <w:r>
        <w:rPr>
          <w:rFonts w:ascii="Calibri" w:hAnsi="Calibri"/>
          <w:i/>
          <w:color w:val="525866"/>
          <w:sz w:val="22"/>
        </w:rPr>
        <w:t>Directly positive — BKR's data validates the demand backdrop for CVX's Microsoft West Texas power project. Management plans to discuss the project in detail on the Q2 call; BKR's order book strength in gas turbines and compression is consistent with CVX's multi-gigawatt power ambition.</w:t>
      </w:r>
    </w:p>
    <w:p>
      <w:pPr>
        <w:pStyle w:val="ListBullet"/>
        <w:ind w:left="360" w:hanging="360"/>
      </w:pPr>
      <w:r>
        <w:rPr>
          <w:rFonts w:ascii="Calibri" w:hAnsi="Calibri"/>
          <w:b/>
          <w:color w:val="525866"/>
          <w:sz w:val="22"/>
        </w:rPr>
        <w:t xml:space="preserve">Record orders / RPO: </w:t>
      </w:r>
      <w:r>
        <w:rPr>
          <w:rFonts w:ascii="Calibri" w:hAnsi="Calibri"/>
          <w:color w:val="525866"/>
          <w:sz w:val="22"/>
        </w:rPr>
        <w:t>BKR total orders doubled YoY to a record $7.1B in Q2 (2.2x book-to-bill); RPO up 19% to all-time high of $37.1B. Adjusted EBITDA margin expanded 70 bps YoY to record 18.3%. Free cash flow of $1.1B.</w:t>
      </w:r>
    </w:p>
    <w:p>
      <w:pPr>
        <w:pStyle w:val="ListBullet"/>
        <w:ind w:left="360" w:hanging="360"/>
      </w:pPr>
      <w:r>
        <w:rPr>
          <w:rFonts w:ascii="Calibri" w:hAnsi="Calibri"/>
          <w:b/>
          <w:i/>
          <w:color w:val="525866"/>
          <w:sz w:val="22"/>
        </w:rPr>
        <w:t xml:space="preserve">CVX read-through: </w:t>
      </w:r>
      <w:r>
        <w:rPr>
          <w:rFonts w:ascii="Calibri" w:hAnsi="Calibri"/>
          <w:i/>
          <w:color w:val="525866"/>
          <w:sz w:val="22"/>
        </w:rPr>
        <w:t>Positive for long-cycle energy infrastructure investment — BKR's record order book signals sustained upstream and LNG investment that supports CVX's project pipeline (Leviathan expansion, Eastern Mediterranean, Venezuela).</w:t>
      </w:r>
    </w:p>
    <w:p>
      <w:pPr>
        <w:pStyle w:val="Heading3"/>
      </w:pPr>
      <w:r>
        <w:rPr>
          <w:rFonts w:ascii="Calibri" w:hAnsi="Calibri"/>
          <w:b/>
          <w:color w:val="3B4259"/>
          <w:sz w:val="24"/>
        </w:rPr>
        <w:t>SLB — Q2 2026 Earnings Call (July 24, 2026)</w:t>
      </w:r>
    </w:p>
    <w:p>
      <w:pPr>
        <w:pStyle w:val="ListBullet"/>
        <w:ind w:left="360" w:hanging="360"/>
      </w:pPr>
      <w:r>
        <w:rPr>
          <w:rFonts w:ascii="Calibri" w:hAnsi="Calibri"/>
          <w:b/>
          <w:color w:val="525866"/>
          <w:sz w:val="22"/>
        </w:rPr>
        <w:t xml:space="preserve">International upstream recovery: </w:t>
      </w:r>
      <w:r>
        <w:rPr>
          <w:rFonts w:ascii="Calibri" w:hAnsi="Calibri"/>
          <w:color w:val="525866"/>
          <w:sz w:val="22"/>
        </w:rPr>
        <w:t>SLB Q2 2026 revenue reached $9B (+3% sequential), with broad-based international growth in Latin America (Brazil, Guyana, Mexico), Europe/Africa (Scandinavia, Nigeria), and Asia (China, Indonesia, India, Australia). Middle East revenue declined 13% sequentially to $1.66B. Pretax segment operating margin +49 bps sequential; adjusted EBITDA margin +83 bps sequential.</w:t>
      </w:r>
    </w:p>
    <w:p>
      <w:pPr>
        <w:pStyle w:val="ListBullet"/>
        <w:ind w:left="360" w:hanging="360"/>
      </w:pPr>
      <w:r>
        <w:rPr>
          <w:rFonts w:ascii="Calibri" w:hAnsi="Calibri"/>
          <w:b/>
          <w:i/>
          <w:color w:val="525866"/>
          <w:sz w:val="22"/>
        </w:rPr>
        <w:t xml:space="preserve">CVX read-through: </w:t>
      </w:r>
      <w:r>
        <w:rPr>
          <w:rFonts w:ascii="Calibri" w:hAnsi="Calibri"/>
          <w:i/>
          <w:color w:val="525866"/>
          <w:sz w:val="22"/>
        </w:rPr>
        <w:t>Positive — SLB's Guyana activity growth is a direct read-through for CVX's Hess-acquired Guyana stake (Stabroek block). Brazil and Latin America strength validates CVX's international upstream portfolio.</w:t>
      </w:r>
    </w:p>
    <w:p>
      <w:pPr>
        <w:pStyle w:val="ListBullet"/>
        <w:ind w:left="360" w:hanging="360"/>
      </w:pPr>
      <w:r>
        <w:rPr>
          <w:rFonts w:ascii="Calibri" w:hAnsi="Calibri"/>
          <w:b/>
          <w:color w:val="525866"/>
          <w:sz w:val="22"/>
        </w:rPr>
        <w:t xml:space="preserve">Deepwater FID acceleration: </w:t>
      </w:r>
      <w:r>
        <w:rPr>
          <w:rFonts w:ascii="Calibri" w:hAnsi="Calibri"/>
          <w:color w:val="525866"/>
          <w:sz w:val="22"/>
        </w:rPr>
        <w:t>Long-cycle project FIDs projected to increase ~30% YoY in 2026, driving higher exploration spending and upstream capex growth in H2 2026, led by Africa. SLB expects deepwater activity to accelerate "well into 2027." Subsea bookings ambition of $9B over two years. Eastern Mediterranean flagged as a strong area in 2027.</w:t>
      </w:r>
    </w:p>
    <w:p>
      <w:pPr>
        <w:pStyle w:val="ListBullet"/>
        <w:ind w:left="360" w:hanging="360"/>
      </w:pPr>
      <w:r>
        <w:rPr>
          <w:rFonts w:ascii="Calibri" w:hAnsi="Calibri"/>
          <w:b/>
          <w:i/>
          <w:color w:val="525866"/>
          <w:sz w:val="22"/>
        </w:rPr>
        <w:t xml:space="preserve">CVX read-through: </w:t>
      </w:r>
      <w:r>
        <w:rPr>
          <w:rFonts w:ascii="Calibri" w:hAnsi="Calibri"/>
          <w:i/>
          <w:color w:val="525866"/>
          <w:sz w:val="22"/>
        </w:rPr>
        <w:t>Directly positive — CVX took FID on Leviathan expansion in January 2026 and is pursuing FEED at Aphrodite; SLB's Eastern Mediterranean call validates CVX's strategic positioning in the region. Deepwater acceleration also supports CVX's Gulf of America assets.</w:t>
      </w:r>
    </w:p>
    <w:p>
      <w:pPr>
        <w:pStyle w:val="ListBullet"/>
        <w:ind w:left="360" w:hanging="360"/>
      </w:pPr>
      <w:r>
        <w:rPr>
          <w:rFonts w:ascii="Calibri" w:hAnsi="Calibri"/>
          <w:b/>
          <w:color w:val="525866"/>
          <w:sz w:val="22"/>
        </w:rPr>
        <w:t xml:space="preserve">Venezuela: </w:t>
      </w:r>
      <w:r>
        <w:rPr>
          <w:rFonts w:ascii="Calibri" w:hAnsi="Calibri"/>
          <w:color w:val="525866"/>
          <w:sz w:val="22"/>
        </w:rPr>
        <w:t>SLB explicitly mentioned working under license with "Chevron" in Venezuela, scaling capabilities and preparing for a significant exit rate into 2027 with multiple customers and contracts. SLB used to generate &gt;$1B revenue in Venezuela at peak and is rebuilding toward that level.</w:t>
      </w:r>
    </w:p>
    <w:p>
      <w:pPr>
        <w:pStyle w:val="ListBullet"/>
        <w:ind w:left="360" w:hanging="360"/>
      </w:pPr>
      <w:r>
        <w:rPr>
          <w:rFonts w:ascii="Calibri" w:hAnsi="Calibri"/>
          <w:b/>
          <w:i/>
          <w:color w:val="525866"/>
          <w:sz w:val="22"/>
        </w:rPr>
        <w:t xml:space="preserve">CVX read-through: </w:t>
      </w:r>
      <w:r>
        <w:rPr>
          <w:rFonts w:ascii="Calibri" w:hAnsi="Calibri"/>
          <w:i/>
          <w:color w:val="525866"/>
          <w:sz w:val="22"/>
        </w:rPr>
        <w:t>Directly positive — SLB's Venezuela ramp-up is directly tied to CVX's joint ventures (Petropiar, Petroindependencia). SLB's confidence in the 2027 exit rate supports CVX's own guidance of Venezuela production growing another ~50% by end of 2028.</w:t>
      </w:r>
    </w:p>
    <w:p>
      <w:pPr>
        <w:pStyle w:val="ListBullet"/>
        <w:ind w:left="360" w:hanging="360"/>
      </w:pPr>
      <w:r>
        <w:rPr>
          <w:rFonts w:ascii="Calibri" w:hAnsi="Calibri"/>
          <w:b/>
          <w:color w:val="525866"/>
          <w:sz w:val="22"/>
        </w:rPr>
        <w:t xml:space="preserve">H2 2026 FCF outlook: </w:t>
      </w:r>
      <w:r>
        <w:rPr>
          <w:rFonts w:ascii="Calibri" w:hAnsi="Calibri"/>
          <w:color w:val="525866"/>
          <w:sz w:val="22"/>
        </w:rPr>
        <w:t>SLB expects H2 2026 FCF to be "materially higher" than H1, driven by improved earnings, higher customer collections, and lower inventories. Q2 FCF was $716M (+$739M vs. Q1).</w:t>
      </w:r>
    </w:p>
    <w:p>
      <w:pPr>
        <w:pStyle w:val="ListBullet"/>
        <w:ind w:left="360" w:hanging="360"/>
      </w:pPr>
      <w:r>
        <w:rPr>
          <w:rFonts w:ascii="Calibri" w:hAnsi="Calibri"/>
          <w:b/>
          <w:i/>
          <w:color w:val="525866"/>
          <w:sz w:val="22"/>
        </w:rPr>
        <w:t xml:space="preserve">CVX read-through: </w:t>
      </w:r>
      <w:r>
        <w:rPr>
          <w:rFonts w:ascii="Calibri" w:hAnsi="Calibri"/>
          <w:i/>
          <w:color w:val="525866"/>
          <w:sz w:val="22"/>
        </w:rPr>
        <w:t>Positive — SLB's H2 FCF acceleration thesis is consistent with CVX's own FCF inflection narrative; the sector-wide working capital normalization supports CVX's Q2 FCF recovery from Q1's negative reported figure.</w:t>
      </w:r>
    </w:p>
    <w:p>
      <w:r>
        <w:rPr>
          <w:rFonts w:ascii="Calibri" w:hAnsi="Calibri"/>
          <w:b/>
          <w:color w:val="525866"/>
          <w:sz w:val="22"/>
        </w:rPr>
        <w:t xml:space="preserve">Note: </w:t>
      </w:r>
      <w:r>
        <w:rPr>
          <w:rFonts w:ascii="Calibri" w:hAnsi="Calibri"/>
          <w:i/>
          <w:color w:val="525866"/>
          <w:sz w:val="22"/>
        </w:rPr>
        <w:t>All peer commentary above is sourced from Q1 2026 earnings calls (May 2026), subsequent investor conferences (May–June 2026), and Q2 2026 earnings calls (BKR July 27, SLB July 24) — all within the last 60 days and directly relevant to CVX's Q2 2026 reporting quarter. Q1 2025 earnings commentary (prior quarter results) has been excluded per the user's instruction.</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b/>
          <w:color w:val="525866"/>
          <w:sz w:val="22"/>
        </w:rPr>
        <w:t xml:space="preserve">The most important development since Q1 earnings is the </w:t>
      </w:r>
      <w:r>
        <w:rPr>
          <w:rFonts w:ascii="Calibri" w:hAnsi="Calibri"/>
          <w:b/>
          <w:color w:val="525866"/>
          <w:sz w:val="22"/>
        </w:rPr>
        <w:t>Microsoft West Texas power project announcement (June 22)</w:t>
      </w:r>
      <w:r>
        <w:rPr>
          <w:rFonts w:ascii="Calibri" w:hAnsi="Calibri"/>
          <w:b/>
          <w:color w:val="525866"/>
          <w:sz w:val="22"/>
        </w:rPr>
        <w:t xml:space="preserve"> — the first concrete step toward a multi-gigawatt, non-commodity-correlated cash stream that management has been telegraphing; the Q2 call is expected to be the venue for full details, making this the single biggest potential positive catalyst for the stock beyond the headline numbers.</w:t>
      </w:r>
    </w:p>
    <w:p>
      <w:pPr>
        <w:pStyle w:val="ListBullet"/>
        <w:ind w:left="360" w:hanging="360"/>
      </w:pPr>
      <w:r>
        <w:rPr>
          <w:rFonts w:ascii="Calibri" w:hAnsi="Calibri"/>
          <w:b/>
          <w:color w:val="525866"/>
          <w:sz w:val="22"/>
        </w:rPr>
        <w:t xml:space="preserve">June 22, 2026 — Microsoft Power Project Announcement (West Texas): </w:t>
      </w:r>
      <w:r>
        <w:rPr>
          <w:rFonts w:ascii="Calibri" w:hAnsi="Calibri"/>
          <w:color w:val="525866"/>
          <w:sz w:val="22"/>
        </w:rPr>
        <w:t xml:space="preserve">CVX announced an advanced agreement with Microsoft and Engine No. 1 for a multi-gigawatt scale natural gas power generation project in West Texas (Permian Basin). FID expected before year-end 2026. Capital already factored into existing $18–19B guidance. Customer (Microsoft) bears commodity price risk; CVX earns capital recovery and operating cost recovery (LNG-style annuity structure). Management described as "excited and confident." </w:t>
      </w:r>
    </w:p>
    <w:p>
      <w:pPr>
        <w:pStyle w:val="ListBullet"/>
        <w:ind w:left="360" w:hanging="360"/>
      </w:pPr>
      <w:r>
        <w:rPr>
          <w:rFonts w:ascii="Calibri" w:hAnsi="Calibri"/>
          <w:b/>
          <w:i/>
          <w:color w:val="525866"/>
          <w:sz w:val="22"/>
        </w:rPr>
        <w:t xml:space="preserve">Implication: </w:t>
      </w:r>
      <w:r>
        <w:rPr>
          <w:rFonts w:ascii="Calibri" w:hAnsi="Calibri"/>
          <w:i/>
          <w:color w:val="525866"/>
          <w:sz w:val="22"/>
        </w:rPr>
        <w:t>Potentially transformative — management described the power business as capable of generating "billions of dollars in free cash flow" over time, non-correlated to commodity prices. Q2 call is the first opportunity for full disclosure of commercial terms and project scale.</w:t>
      </w:r>
    </w:p>
    <w:p>
      <w:pPr>
        <w:pStyle w:val="ListBullet"/>
        <w:ind w:left="360" w:hanging="360"/>
      </w:pPr>
      <w:r>
        <w:rPr>
          <w:rFonts w:ascii="Calibri" w:hAnsi="Calibri"/>
          <w:b/>
          <w:color w:val="525866"/>
          <w:sz w:val="22"/>
        </w:rPr>
        <w:t xml:space="preserve">June 23, 2026 — JP Morgan Natural Resources Conference: </w:t>
      </w:r>
      <w:r>
        <w:rPr>
          <w:rFonts w:ascii="Calibri" w:hAnsi="Calibri"/>
          <w:color w:val="525866"/>
          <w:sz w:val="22"/>
        </w:rPr>
        <w:t>CEO Mike Wirth participated in fireside chat. Key messages: (1) FID on Microsoft power project expected before year-end; (2) CVX has identified ~50 "needle-moving" AI deployment opportunities across supply chain, drilling, and production optimization; (3) free cash flow and production growth trajectory described as "very exciting"; (4) Iran conflict characterized as creating "a lot of volatility" but not a structural shift requiring strategy change; (5) consistency is the company's one-word response to macro volatility.</w:t>
      </w:r>
    </w:p>
    <w:p>
      <w:pPr>
        <w:pStyle w:val="ListBullet"/>
        <w:ind w:left="360" w:hanging="360"/>
      </w:pPr>
      <w:r>
        <w:rPr>
          <w:rFonts w:ascii="Calibri" w:hAnsi="Calibri"/>
          <w:b/>
          <w:color w:val="525866"/>
          <w:sz w:val="22"/>
        </w:rPr>
        <w:t xml:space="preserve">May 28, 2026 — Bernstein Strategic Decisions Conference: </w:t>
      </w:r>
      <w:r>
        <w:rPr>
          <w:rFonts w:ascii="Calibri" w:hAnsi="Calibri"/>
          <w:color w:val="525866"/>
          <w:sz w:val="22"/>
        </w:rPr>
        <w:t>CEO Wirth provided detailed Q2 macro color: WTI at $89/bbl at time of conference; "more upward pressure" expected into June and July as inventory buffers drawn down; Strait of Hormuz flows "cut off for the most part" (12–13 million bbl/d lost); post-crisis floor on prices expected to be "firmer and higher." Permian plateau at 1 million boe/d through end of next decade confirmed. FCF growth of 10% CAGR at $60 Brent, 14% at $70 Brent.</w:t>
      </w:r>
    </w:p>
    <w:p>
      <w:pPr>
        <w:pStyle w:val="ListBullet"/>
        <w:ind w:left="360" w:hanging="360"/>
      </w:pPr>
      <w:r>
        <w:rPr>
          <w:rFonts w:ascii="Calibri" w:hAnsi="Calibri"/>
          <w:b/>
          <w:i/>
          <w:color w:val="525866"/>
          <w:sz w:val="22"/>
        </w:rPr>
        <w:t xml:space="preserve">Implication: </w:t>
      </w:r>
      <w:r>
        <w:rPr>
          <w:rFonts w:ascii="Calibri" w:hAnsi="Calibri"/>
          <w:i/>
          <w:color w:val="525866"/>
          <w:sz w:val="22"/>
        </w:rPr>
        <w:t>Management's oil price commentary at Bernstein (WTI $89, more upward pressure into Q2) is a strong positive read-through for Q2 realized prices and FCF.</w:t>
      </w:r>
    </w:p>
    <w:p>
      <w:pPr>
        <w:pStyle w:val="ListBullet"/>
        <w:ind w:left="360" w:hanging="360"/>
      </w:pPr>
      <w:r>
        <w:rPr>
          <w:rFonts w:ascii="Calibri" w:hAnsi="Calibri"/>
          <w:b/>
          <w:color w:val="525866"/>
          <w:sz w:val="22"/>
        </w:rPr>
        <w:t xml:space="preserve">May 1, 2026 — Q1 2026 Earnings (Baseline): </w:t>
      </w:r>
      <w:r>
        <w:rPr>
          <w:rFonts w:ascii="Calibri" w:hAnsi="Calibri"/>
          <w:color w:val="525866"/>
          <w:sz w:val="22"/>
        </w:rPr>
        <w:t>Adjusted EPS of $1.41 beat consensus of $1.02 by 38%; reported EPS of $0.96 impacted by legal reserve charge and FX. Reported FCF of -$1.5B (negative) due to ~$1B paper derivative positions and working capital build from steep March commodity price rise. Management flagged ~$1B of paper positions to unwind in Q2 (majority in April). Affiliate distribution guidance raised &gt;$2B above Q1 levels. All FY2026 guidance reaffirmed. Stock declined modestly on the day despite the large adjusted EPS beat.</w:t>
      </w:r>
    </w:p>
    <w:p>
      <w:pPr>
        <w:pStyle w:val="ListBullet"/>
        <w:ind w:left="360" w:hanging="360"/>
      </w:pPr>
      <w:r>
        <w:rPr>
          <w:rFonts w:ascii="Calibri" w:hAnsi="Calibri"/>
          <w:b/>
          <w:i/>
          <w:color w:val="525866"/>
          <w:sz w:val="22"/>
        </w:rPr>
        <w:t xml:space="preserve">Implication: </w:t>
      </w:r>
      <w:r>
        <w:rPr>
          <w:rFonts w:ascii="Calibri" w:hAnsi="Calibri"/>
          <w:i/>
          <w:color w:val="525866"/>
          <w:sz w:val="22"/>
        </w:rPr>
        <w:t>The Q1 FCF distortion is the key setup for Q2 — the unwind of paper positions and working capital normalization should produce a materially positive reported FCF in Q2, which was the primary source of Q1 disappointment.</w:t>
      </w:r>
    </w:p>
    <w:p>
      <w:pPr>
        <w:pStyle w:val="ListBullet"/>
        <w:ind w:left="360" w:hanging="360"/>
      </w:pPr>
      <w:r>
        <w:rPr>
          <w:rFonts w:ascii="Calibri" w:hAnsi="Calibri"/>
          <w:b/>
          <w:color w:val="525866"/>
          <w:sz w:val="22"/>
        </w:rPr>
        <w:t xml:space="preserve">January 2026 — Leviathan Expansion FID (Eastern Mediterranean): </w:t>
      </w:r>
      <w:r>
        <w:rPr>
          <w:rFonts w:ascii="Calibri" w:hAnsi="Calibri"/>
          <w:color w:val="525866"/>
          <w:sz w:val="22"/>
        </w:rPr>
        <w:t>CVX took FID on the Leviathan longer-term expansion in January 2026, with FEED work underway at Aphrodite. Four offshore exploration leases awarded in Greece. Management views Eastern Mediterranean as a growing gas hub with further exploration upside.</w:t>
      </w:r>
    </w:p>
    <w:p>
      <w:pPr>
        <w:pStyle w:val="ListBullet"/>
        <w:ind w:left="360" w:hanging="360"/>
      </w:pPr>
      <w:r>
        <w:rPr>
          <w:rFonts w:ascii="Calibri" w:hAnsi="Calibri"/>
          <w:b/>
          <w:i/>
          <w:color w:val="525866"/>
          <w:sz w:val="22"/>
        </w:rPr>
        <w:t xml:space="preserve">Implication: </w:t>
      </w:r>
      <w:r>
        <w:rPr>
          <w:rFonts w:ascii="Calibri" w:hAnsi="Calibri"/>
          <w:i/>
          <w:color w:val="525866"/>
          <w:sz w:val="22"/>
        </w:rPr>
        <w:t>Positive for long-term production growth; SLB's Q2 call (July 24) specifically flagged Eastern Mediterranean as a strong area in 2027, validating CVX's strategic positioning.</w:t>
      </w:r>
    </w:p>
    <w:p>
      <w:pPr>
        <w:pStyle w:val="ListBullet"/>
        <w:ind w:left="360" w:hanging="360"/>
      </w:pPr>
      <w:r>
        <w:rPr>
          <w:rFonts w:ascii="Calibri" w:hAnsi="Calibri"/>
          <w:b/>
          <w:color w:val="525866"/>
          <w:sz w:val="22"/>
        </w:rPr>
        <w:t xml:space="preserve">Ongoing — TCO Monthly Dividend Payments: </w:t>
      </w:r>
      <w:r>
        <w:rPr>
          <w:rFonts w:ascii="Calibri" w:hAnsi="Calibri"/>
          <w:color w:val="525866"/>
          <w:sz w:val="22"/>
        </w:rPr>
        <w:t>TCO (Tengizchevroil, Kazakhstan) shifted from quarterly to monthly dividend payments; first monthly payment received in April 2026. TCO operating above nameplate capacity of 1 million boe/d. Concession extension discussions (current concession runs through 2033) described as going well with no showstoppers.</w:t>
      </w:r>
    </w:p>
    <w:p>
      <w:pPr>
        <w:pStyle w:val="ListBullet"/>
        <w:ind w:left="360" w:hanging="360"/>
      </w:pPr>
      <w:r>
        <w:rPr>
          <w:rFonts w:ascii="Calibri" w:hAnsi="Calibri"/>
          <w:b/>
          <w:i/>
          <w:color w:val="525866"/>
          <w:sz w:val="22"/>
        </w:rPr>
        <w:t xml:space="preserve">Implication: </w:t>
      </w:r>
      <w:r>
        <w:rPr>
          <w:rFonts w:ascii="Calibri" w:hAnsi="Calibri"/>
          <w:i/>
          <w:color w:val="525866"/>
          <w:sz w:val="22"/>
        </w:rPr>
        <w:t>Positive for Q2 FCF quality — monthly TCO dividends improve cash flow timing and reduce quarterly lumpiness. TCO is one of CVX's highest-margin assets.</w:t>
      </w:r>
    </w:p>
    <w:p>
      <w:pPr>
        <w:pStyle w:val="ListBullet"/>
        <w:ind w:left="360" w:hanging="360"/>
      </w:pPr>
      <w:r>
        <w:rPr>
          <w:rFonts w:ascii="Calibri" w:hAnsi="Calibri"/>
          <w:b/>
          <w:color w:val="525866"/>
          <w:sz w:val="22"/>
        </w:rPr>
        <w:t xml:space="preserve">Ongoing — Angola Concession Sale: </w:t>
      </w:r>
      <w:r>
        <w:rPr>
          <w:rFonts w:ascii="Calibri" w:hAnsi="Calibri"/>
          <w:color w:val="525866"/>
          <w:sz w:val="22"/>
        </w:rPr>
        <w:t>CVX's Angola concession is under contract for sale with a price override mechanism tied to oil price at closing. Management explicitly stated preference to be a seller rather than buyer at the top of the commodity cycle.</w:t>
      </w:r>
    </w:p>
    <w:p>
      <w:pPr>
        <w:pStyle w:val="ListBullet"/>
        <w:ind w:left="360" w:hanging="360"/>
      </w:pPr>
      <w:r>
        <w:rPr>
          <w:rFonts w:ascii="Calibri" w:hAnsi="Calibri"/>
          <w:b/>
          <w:i/>
          <w:color w:val="525866"/>
          <w:sz w:val="22"/>
        </w:rPr>
        <w:t xml:space="preserve">Implication: </w:t>
      </w:r>
      <w:r>
        <w:rPr>
          <w:rFonts w:ascii="Calibri" w:hAnsi="Calibri"/>
          <w:i/>
          <w:color w:val="525866"/>
          <w:sz w:val="22"/>
        </w:rPr>
        <w:t>Portfolio high-grading in progress; proceeds expected to support buybacks/balance sheet. Elevated oil prices increase the price override benefit at closing.</w:t>
      </w:r>
    </w:p>
    <w:p>
      <w:pPr>
        <w:pStyle w:val="ListBullet"/>
        <w:ind w:left="360" w:hanging="360"/>
      </w:pPr>
      <w:r>
        <w:rPr>
          <w:rFonts w:ascii="Calibri" w:hAnsi="Calibri"/>
          <w:b/>
          <w:color w:val="525866"/>
          <w:sz w:val="22"/>
        </w:rPr>
        <w:t xml:space="preserve">Ongoing — Geopolitical Context (Iran/Strait of Hormuz): </w:t>
      </w:r>
      <w:r>
        <w:rPr>
          <w:rFonts w:ascii="Calibri" w:hAnsi="Calibri"/>
          <w:color w:val="525866"/>
          <w:sz w:val="22"/>
        </w:rPr>
        <w:t>Major attacks began February 28, 2026; ~12–13 million bbl/d of supply disrupted. CVX has no direct operational exposure in the conflict zone. Downstream integration value capture (directing equity crude to own refineries) is a structural competitive advantage highlighted by management. Inventory buffers being drawn down; management expects upward price pressure to intensify.</w:t>
      </w:r>
    </w:p>
    <w:p>
      <w:pPr>
        <w:pStyle w:val="ListBullet"/>
        <w:ind w:left="360" w:hanging="360"/>
      </w:pPr>
      <w:r>
        <w:rPr>
          <w:rFonts w:ascii="Calibri" w:hAnsi="Calibri"/>
          <w:b/>
          <w:i/>
          <w:color w:val="525866"/>
          <w:sz w:val="22"/>
        </w:rPr>
        <w:t xml:space="preserve">Implication: </w:t>
      </w:r>
      <w:r>
        <w:rPr>
          <w:rFonts w:ascii="Calibri" w:hAnsi="Calibri"/>
          <w:i/>
          <w:color w:val="525866"/>
          <w:sz w:val="22"/>
        </w:rPr>
        <w:t>Net positive for CVX — higher realized prices, downstream integration value capture, and no direct operational disruption. The conflict is the single biggest macro tailwind for Q2 results.</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b/>
          <w:color w:val="525866"/>
          <w:sz w:val="22"/>
        </w:rPr>
        <w:t xml:space="preserve">The most notable item is </w:t>
      </w:r>
      <w:r>
        <w:rPr>
          <w:rFonts w:ascii="Calibri" w:hAnsi="Calibri"/>
          <w:b/>
          <w:color w:val="525866"/>
          <w:sz w:val="22"/>
        </w:rPr>
        <w:t>John Hess (Director, former Hess CEO) selling 575,000 shares via trust in two tranches (May 6 and May 20) totaling ~$107M</w:t>
      </w:r>
      <w:r>
        <w:rPr>
          <w:rFonts w:ascii="Calibri" w:hAnsi="Calibri"/>
          <w:b/>
          <w:color w:val="525866"/>
          <w:sz w:val="22"/>
        </w:rPr>
        <w:t xml:space="preserve"> — these are discretionary trust sales (not 10b5-1 plans), which warrants attention given the size, though the context is likely post-merger estate/trust management rather than a negative signal on CVX's outlook. All other transactions are routine director compensation grants.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 / 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HESS JOHN B</w:t>
            </w:r>
          </w:p>
        </w:tc>
        <w:tc>
          <w:tcPr>
            <w:tcW w:type="dxa" w:w="1440"/>
          </w:tcPr>
          <w:p>
            <w:r>
              <w:rPr>
                <w:rFonts w:ascii="Calibri" w:hAnsi="Calibri"/>
                <w:sz w:val="22"/>
              </w:rPr>
              <w:t>Director</w:t>
            </w:r>
          </w:p>
        </w:tc>
        <w:tc>
          <w:tcPr>
            <w:tcW w:type="dxa" w:w="1440"/>
          </w:tcPr>
          <w:p>
            <w:r>
              <w:rPr>
                <w:rFonts w:ascii="Calibri" w:hAnsi="Calibri"/>
                <w:b/>
                <w:color w:val="E5484D"/>
                <w:sz w:val="22"/>
              </w:rPr>
              <w:t>Open Market Sale (By Trust)</w:t>
            </w:r>
          </w:p>
        </w:tc>
        <w:tc>
          <w:tcPr>
            <w:tcW w:type="dxa" w:w="1440"/>
          </w:tcPr>
          <w:p>
            <w:r>
              <w:rPr>
                <w:rFonts w:ascii="Calibri" w:hAnsi="Calibri"/>
                <w:sz w:val="22"/>
              </w:rPr>
              <w:t>195,000 shares (~$35.4M at ~$181.62)</w:t>
            </w:r>
          </w:p>
        </w:tc>
        <w:tc>
          <w:tcPr>
            <w:tcW w:type="dxa" w:w="1440"/>
          </w:tcPr>
          <w:p>
            <w:r>
              <w:rPr>
                <w:rFonts w:ascii="Calibri" w:hAnsi="Calibri"/>
                <w:sz w:val="22"/>
              </w:rPr>
              <w:t>May 6, 2026</w:t>
            </w:r>
          </w:p>
        </w:tc>
        <w:tc>
          <w:tcPr>
            <w:tcW w:type="dxa" w:w="1440"/>
          </w:tcPr>
          <w:p>
            <w:r>
              <w:rPr>
                <w:rFonts w:ascii="Calibri" w:hAnsi="Calibri"/>
                <w:sz w:val="22"/>
              </w:rPr>
              <w:t>Discretionary trust sale; no 10b5-1 plan disclosed. Likely post-merger estate/trust management. Largest single transaction in the period.</w:t>
            </w:r>
          </w:p>
        </w:tc>
      </w:tr>
      <w:tr>
        <w:tc>
          <w:tcPr>
            <w:tcW w:type="dxa" w:w="1440"/>
          </w:tcPr>
          <w:p>
            <w:r>
              <w:rPr>
                <w:rFonts w:ascii="Calibri" w:hAnsi="Calibri"/>
                <w:sz w:val="22"/>
              </w:rPr>
              <w:t>HESS JOHN B</w:t>
            </w:r>
          </w:p>
        </w:tc>
        <w:tc>
          <w:tcPr>
            <w:tcW w:type="dxa" w:w="1440"/>
          </w:tcPr>
          <w:p>
            <w:r>
              <w:rPr>
                <w:rFonts w:ascii="Calibri" w:hAnsi="Calibri"/>
                <w:sz w:val="22"/>
              </w:rPr>
              <w:t>Director</w:t>
            </w:r>
          </w:p>
        </w:tc>
        <w:tc>
          <w:tcPr>
            <w:tcW w:type="dxa" w:w="1440"/>
          </w:tcPr>
          <w:p>
            <w:r>
              <w:rPr>
                <w:rFonts w:ascii="Calibri" w:hAnsi="Calibri"/>
                <w:b/>
                <w:color w:val="E5484D"/>
                <w:sz w:val="22"/>
              </w:rPr>
              <w:t>Open Market Sale (By Trust)</w:t>
            </w:r>
          </w:p>
        </w:tc>
        <w:tc>
          <w:tcPr>
            <w:tcW w:type="dxa" w:w="1440"/>
          </w:tcPr>
          <w:p>
            <w:r>
              <w:rPr>
                <w:rFonts w:ascii="Calibri" w:hAnsi="Calibri"/>
                <w:sz w:val="22"/>
              </w:rPr>
              <w:t>380,000 shares (~$72.7M at ~$191.33)</w:t>
            </w:r>
          </w:p>
        </w:tc>
        <w:tc>
          <w:tcPr>
            <w:tcW w:type="dxa" w:w="1440"/>
          </w:tcPr>
          <w:p>
            <w:r>
              <w:rPr>
                <w:rFonts w:ascii="Calibri" w:hAnsi="Calibri"/>
                <w:sz w:val="22"/>
              </w:rPr>
              <w:t>May 20, 2026</w:t>
            </w:r>
          </w:p>
        </w:tc>
        <w:tc>
          <w:tcPr>
            <w:tcW w:type="dxa" w:w="1440"/>
          </w:tcPr>
          <w:p>
            <w:r>
              <w:rPr>
                <w:rFonts w:ascii="Calibri" w:hAnsi="Calibri"/>
                <w:sz w:val="22"/>
              </w:rPr>
              <w:t>Discretionary trust sale; no 10b5-1 plan disclosed. Second large tranche within 2 weeks of first sale. Combined with May 6 sale: 575,000 shares / ~$108M.</w:t>
            </w:r>
          </w:p>
        </w:tc>
      </w:tr>
      <w:tr>
        <w:tc>
          <w:tcPr>
            <w:tcW w:type="dxa" w:w="1440"/>
          </w:tcPr>
          <w:p>
            <w:r>
              <w:rPr>
                <w:rFonts w:ascii="Calibri" w:hAnsi="Calibri"/>
                <w:sz w:val="22"/>
              </w:rPr>
              <w:t>Austin Wanda M</w:t>
            </w:r>
          </w:p>
        </w:tc>
        <w:tc>
          <w:tcPr>
            <w:tcW w:type="dxa" w:w="1440"/>
          </w:tcPr>
          <w:p>
            <w:r>
              <w:rPr>
                <w:rFonts w:ascii="Calibri" w:hAnsi="Calibri"/>
                <w:sz w:val="22"/>
              </w:rPr>
              <w:t>Director</w:t>
            </w:r>
          </w:p>
        </w:tc>
        <w:tc>
          <w:tcPr>
            <w:tcW w:type="dxa" w:w="1440"/>
          </w:tcPr>
          <w:p>
            <w:r>
              <w:rPr>
                <w:rFonts w:ascii="Calibri" w:hAnsi="Calibri"/>
                <w:sz w:val="22"/>
              </w:rPr>
              <w:t>Award (Compensation Grant)</w:t>
            </w:r>
          </w:p>
        </w:tc>
        <w:tc>
          <w:tcPr>
            <w:tcW w:type="dxa" w:w="1440"/>
          </w:tcPr>
          <w:p>
            <w:r>
              <w:rPr>
                <w:rFonts w:ascii="Calibri" w:hAnsi="Calibri"/>
                <w:sz w:val="22"/>
              </w:rPr>
              <w:t>1,272 shares</w:t>
            </w:r>
          </w:p>
        </w:tc>
        <w:tc>
          <w:tcPr>
            <w:tcW w:type="dxa" w:w="1440"/>
          </w:tcPr>
          <w:p>
            <w:r>
              <w:rPr>
                <w:rFonts w:ascii="Calibri" w:hAnsi="Calibri"/>
                <w:sz w:val="22"/>
              </w:rPr>
              <w:t>May 27, 2026</w:t>
            </w:r>
          </w:p>
        </w:tc>
        <w:tc>
          <w:tcPr>
            <w:tcW w:type="dxa" w:w="1440"/>
          </w:tcPr>
          <w:p>
            <w:r>
              <w:rPr>
                <w:rFonts w:ascii="Calibri" w:hAnsi="Calibri"/>
                <w:sz w:val="22"/>
              </w:rPr>
              <w:t>Routine annual director equity compensation grant. No open-market purchase.</w:t>
            </w:r>
          </w:p>
        </w:tc>
      </w:tr>
      <w:tr>
        <w:tc>
          <w:tcPr>
            <w:tcW w:type="dxa" w:w="1440"/>
          </w:tcPr>
          <w:p>
            <w:r>
              <w:rPr>
                <w:rFonts w:ascii="Calibri" w:hAnsi="Calibri"/>
                <w:sz w:val="22"/>
              </w:rPr>
              <w:t>Frank John</w:t>
            </w:r>
          </w:p>
        </w:tc>
        <w:tc>
          <w:tcPr>
            <w:tcW w:type="dxa" w:w="1440"/>
          </w:tcPr>
          <w:p>
            <w:r>
              <w:rPr>
                <w:rFonts w:ascii="Calibri" w:hAnsi="Calibri"/>
                <w:sz w:val="22"/>
              </w:rPr>
              <w:t>Director</w:t>
            </w:r>
          </w:p>
        </w:tc>
        <w:tc>
          <w:tcPr>
            <w:tcW w:type="dxa" w:w="1440"/>
          </w:tcPr>
          <w:p>
            <w:r>
              <w:rPr>
                <w:rFonts w:ascii="Calibri" w:hAnsi="Calibri"/>
                <w:sz w:val="22"/>
              </w:rPr>
              <w:t>Award (Compensation Grant)</w:t>
            </w:r>
          </w:p>
        </w:tc>
        <w:tc>
          <w:tcPr>
            <w:tcW w:type="dxa" w:w="1440"/>
          </w:tcPr>
          <w:p>
            <w:r>
              <w:rPr>
                <w:rFonts w:ascii="Calibri" w:hAnsi="Calibri"/>
                <w:sz w:val="22"/>
              </w:rPr>
              <w:t>1,272 shares</w:t>
            </w:r>
          </w:p>
        </w:tc>
        <w:tc>
          <w:tcPr>
            <w:tcW w:type="dxa" w:w="1440"/>
          </w:tcPr>
          <w:p>
            <w:r>
              <w:rPr>
                <w:rFonts w:ascii="Calibri" w:hAnsi="Calibri"/>
                <w:sz w:val="22"/>
              </w:rPr>
              <w:t>May 27, 2026</w:t>
            </w:r>
          </w:p>
        </w:tc>
        <w:tc>
          <w:tcPr>
            <w:tcW w:type="dxa" w:w="1440"/>
          </w:tcPr>
          <w:p>
            <w:r>
              <w:rPr>
                <w:rFonts w:ascii="Calibri" w:hAnsi="Calibri"/>
                <w:sz w:val="22"/>
              </w:rPr>
              <w:t>Routine annual director equity compensation grant.</w:t>
            </w:r>
          </w:p>
        </w:tc>
      </w:tr>
      <w:tr>
        <w:tc>
          <w:tcPr>
            <w:tcW w:type="dxa" w:w="1440"/>
          </w:tcPr>
          <w:p>
            <w:r>
              <w:rPr>
                <w:rFonts w:ascii="Calibri" w:hAnsi="Calibri"/>
                <w:sz w:val="22"/>
              </w:rPr>
              <w:t>HERNANDEZ ENRIQUE JR</w:t>
            </w:r>
          </w:p>
        </w:tc>
        <w:tc>
          <w:tcPr>
            <w:tcW w:type="dxa" w:w="1440"/>
          </w:tcPr>
          <w:p>
            <w:r>
              <w:rPr>
                <w:rFonts w:ascii="Calibri" w:hAnsi="Calibri"/>
                <w:sz w:val="22"/>
              </w:rPr>
              <w:t>Director</w:t>
            </w:r>
          </w:p>
        </w:tc>
        <w:tc>
          <w:tcPr>
            <w:tcW w:type="dxa" w:w="1440"/>
          </w:tcPr>
          <w:p>
            <w:r>
              <w:rPr>
                <w:rFonts w:ascii="Calibri" w:hAnsi="Calibri"/>
                <w:sz w:val="22"/>
              </w:rPr>
              <w:t>Award (Compensation Grant)</w:t>
            </w:r>
          </w:p>
        </w:tc>
        <w:tc>
          <w:tcPr>
            <w:tcW w:type="dxa" w:w="1440"/>
          </w:tcPr>
          <w:p>
            <w:r>
              <w:rPr>
                <w:rFonts w:ascii="Calibri" w:hAnsi="Calibri"/>
                <w:sz w:val="22"/>
              </w:rPr>
              <w:t>1,272 shares</w:t>
            </w:r>
          </w:p>
        </w:tc>
        <w:tc>
          <w:tcPr>
            <w:tcW w:type="dxa" w:w="1440"/>
          </w:tcPr>
          <w:p>
            <w:r>
              <w:rPr>
                <w:rFonts w:ascii="Calibri" w:hAnsi="Calibri"/>
                <w:sz w:val="22"/>
              </w:rPr>
              <w:t>May 27, 2026</w:t>
            </w:r>
          </w:p>
        </w:tc>
        <w:tc>
          <w:tcPr>
            <w:tcW w:type="dxa" w:w="1440"/>
          </w:tcPr>
          <w:p>
            <w:r>
              <w:rPr>
                <w:rFonts w:ascii="Calibri" w:hAnsi="Calibri"/>
                <w:sz w:val="22"/>
              </w:rPr>
              <w:t>Routine annual director equity compensation grant.</w:t>
            </w:r>
          </w:p>
        </w:tc>
      </w:tr>
      <w:tr>
        <w:tc>
          <w:tcPr>
            <w:tcW w:type="dxa" w:w="1440"/>
          </w:tcPr>
          <w:p>
            <w:r>
              <w:rPr>
                <w:rFonts w:ascii="Calibri" w:hAnsi="Calibri"/>
                <w:sz w:val="22"/>
              </w:rPr>
              <w:t>HESS JOHN B</w:t>
            </w:r>
          </w:p>
        </w:tc>
        <w:tc>
          <w:tcPr>
            <w:tcW w:type="dxa" w:w="1440"/>
          </w:tcPr>
          <w:p>
            <w:r>
              <w:rPr>
                <w:rFonts w:ascii="Calibri" w:hAnsi="Calibri"/>
                <w:sz w:val="22"/>
              </w:rPr>
              <w:t>Director</w:t>
            </w:r>
          </w:p>
        </w:tc>
        <w:tc>
          <w:tcPr>
            <w:tcW w:type="dxa" w:w="1440"/>
          </w:tcPr>
          <w:p>
            <w:r>
              <w:rPr>
                <w:rFonts w:ascii="Calibri" w:hAnsi="Calibri"/>
                <w:sz w:val="22"/>
              </w:rPr>
              <w:t>Award (Compensation Grant)</w:t>
            </w:r>
          </w:p>
        </w:tc>
        <w:tc>
          <w:tcPr>
            <w:tcW w:type="dxa" w:w="1440"/>
          </w:tcPr>
          <w:p>
            <w:r>
              <w:rPr>
                <w:rFonts w:ascii="Calibri" w:hAnsi="Calibri"/>
                <w:sz w:val="22"/>
              </w:rPr>
              <w:t>1,272 shares</w:t>
            </w:r>
          </w:p>
        </w:tc>
        <w:tc>
          <w:tcPr>
            <w:tcW w:type="dxa" w:w="1440"/>
          </w:tcPr>
          <w:p>
            <w:r>
              <w:rPr>
                <w:rFonts w:ascii="Calibri" w:hAnsi="Calibri"/>
                <w:sz w:val="22"/>
              </w:rPr>
              <w:t>May 27, 2026</w:t>
            </w:r>
          </w:p>
        </w:tc>
        <w:tc>
          <w:tcPr>
            <w:tcW w:type="dxa" w:w="1440"/>
          </w:tcPr>
          <w:p>
            <w:r>
              <w:rPr>
                <w:rFonts w:ascii="Calibri" w:hAnsi="Calibri"/>
                <w:sz w:val="22"/>
              </w:rPr>
              <w:t>Routine annual director equity compensation grant (separate from trust sales above).</w:t>
            </w:r>
          </w:p>
        </w:tc>
      </w:tr>
      <w:tr>
        <w:tc>
          <w:tcPr>
            <w:tcW w:type="dxa" w:w="1440"/>
          </w:tcPr>
          <w:p>
            <w:r>
              <w:rPr>
                <w:rFonts w:ascii="Calibri" w:hAnsi="Calibri"/>
                <w:sz w:val="22"/>
              </w:rPr>
              <w:t>HEWSON MARILLYN A</w:t>
            </w:r>
          </w:p>
        </w:tc>
        <w:tc>
          <w:tcPr>
            <w:tcW w:type="dxa" w:w="1440"/>
          </w:tcPr>
          <w:p>
            <w:r>
              <w:rPr>
                <w:rFonts w:ascii="Calibri" w:hAnsi="Calibri"/>
                <w:sz w:val="22"/>
              </w:rPr>
              <w:t>Director</w:t>
            </w:r>
          </w:p>
        </w:tc>
        <w:tc>
          <w:tcPr>
            <w:tcW w:type="dxa" w:w="1440"/>
          </w:tcPr>
          <w:p>
            <w:r>
              <w:rPr>
                <w:rFonts w:ascii="Calibri" w:hAnsi="Calibri"/>
                <w:sz w:val="22"/>
              </w:rPr>
              <w:t>Award (Compensation Grant)</w:t>
            </w:r>
          </w:p>
        </w:tc>
        <w:tc>
          <w:tcPr>
            <w:tcW w:type="dxa" w:w="1440"/>
          </w:tcPr>
          <w:p>
            <w:r>
              <w:rPr>
                <w:rFonts w:ascii="Calibri" w:hAnsi="Calibri"/>
                <w:sz w:val="22"/>
              </w:rPr>
              <w:t>1,272 shares (May 27) + 209 Phantom Stock (June 1)</w:t>
            </w:r>
          </w:p>
        </w:tc>
        <w:tc>
          <w:tcPr>
            <w:tcW w:type="dxa" w:w="1440"/>
          </w:tcPr>
          <w:p>
            <w:r>
              <w:rPr>
                <w:rFonts w:ascii="Calibri" w:hAnsi="Calibri"/>
                <w:sz w:val="22"/>
              </w:rPr>
              <w:t>May 27 &amp; June 1, 2026</w:t>
            </w:r>
          </w:p>
        </w:tc>
        <w:tc>
          <w:tcPr>
            <w:tcW w:type="dxa" w:w="1440"/>
          </w:tcPr>
          <w:p>
            <w:r>
              <w:rPr>
                <w:rFonts w:ascii="Calibri" w:hAnsi="Calibri"/>
                <w:sz w:val="22"/>
              </w:rPr>
              <w:t>Routine director compensation grants (equity + phantom stock).</w:t>
            </w:r>
          </w:p>
        </w:tc>
      </w:tr>
      <w:tr>
        <w:tc>
          <w:tcPr>
            <w:tcW w:type="dxa" w:w="1440"/>
          </w:tcPr>
          <w:p>
            <w:r>
              <w:rPr>
                <w:rFonts w:ascii="Calibri" w:hAnsi="Calibri"/>
                <w:sz w:val="22"/>
              </w:rPr>
              <w:t>HORTON THOMAS W</w:t>
            </w:r>
          </w:p>
        </w:tc>
        <w:tc>
          <w:tcPr>
            <w:tcW w:type="dxa" w:w="1440"/>
          </w:tcPr>
          <w:p>
            <w:r>
              <w:rPr>
                <w:rFonts w:ascii="Calibri" w:hAnsi="Calibri"/>
                <w:sz w:val="22"/>
              </w:rPr>
              <w:t>Director</w:t>
            </w:r>
          </w:p>
        </w:tc>
        <w:tc>
          <w:tcPr>
            <w:tcW w:type="dxa" w:w="1440"/>
          </w:tcPr>
          <w:p>
            <w:r>
              <w:rPr>
                <w:rFonts w:ascii="Calibri" w:hAnsi="Calibri"/>
                <w:sz w:val="22"/>
              </w:rPr>
              <w:t>Award (Compensation Grant)</w:t>
            </w:r>
          </w:p>
        </w:tc>
        <w:tc>
          <w:tcPr>
            <w:tcW w:type="dxa" w:w="1440"/>
          </w:tcPr>
          <w:p>
            <w:r>
              <w:rPr>
                <w:rFonts w:ascii="Calibri" w:hAnsi="Calibri"/>
                <w:sz w:val="22"/>
              </w:rPr>
              <w:t>1,272 shares</w:t>
            </w:r>
          </w:p>
        </w:tc>
        <w:tc>
          <w:tcPr>
            <w:tcW w:type="dxa" w:w="1440"/>
          </w:tcPr>
          <w:p>
            <w:r>
              <w:rPr>
                <w:rFonts w:ascii="Calibri" w:hAnsi="Calibri"/>
                <w:sz w:val="22"/>
              </w:rPr>
              <w:t>May 27, 2026</w:t>
            </w:r>
          </w:p>
        </w:tc>
        <w:tc>
          <w:tcPr>
            <w:tcW w:type="dxa" w:w="1440"/>
          </w:tcPr>
          <w:p>
            <w:r>
              <w:rPr>
                <w:rFonts w:ascii="Calibri" w:hAnsi="Calibri"/>
                <w:sz w:val="22"/>
              </w:rPr>
              <w:t>Routine annual director equity compensation grant.</w:t>
            </w:r>
          </w:p>
        </w:tc>
      </w:tr>
      <w:tr>
        <w:tc>
          <w:tcPr>
            <w:tcW w:type="dxa" w:w="1440"/>
          </w:tcPr>
          <w:p>
            <w:r>
              <w:rPr>
                <w:rFonts w:ascii="Calibri" w:hAnsi="Calibri"/>
                <w:sz w:val="22"/>
              </w:rPr>
              <w:t>Huntsman Jon M Jr</w:t>
            </w:r>
          </w:p>
        </w:tc>
        <w:tc>
          <w:tcPr>
            <w:tcW w:type="dxa" w:w="1440"/>
          </w:tcPr>
          <w:p>
            <w:r>
              <w:rPr>
                <w:rFonts w:ascii="Calibri" w:hAnsi="Calibri"/>
                <w:sz w:val="22"/>
              </w:rPr>
              <w:t>Director</w:t>
            </w:r>
          </w:p>
        </w:tc>
        <w:tc>
          <w:tcPr>
            <w:tcW w:type="dxa" w:w="1440"/>
          </w:tcPr>
          <w:p>
            <w:r>
              <w:rPr>
                <w:rFonts w:ascii="Calibri" w:hAnsi="Calibri"/>
                <w:sz w:val="22"/>
              </w:rPr>
              <w:t>Award (Compensation Grant)</w:t>
            </w:r>
          </w:p>
        </w:tc>
        <w:tc>
          <w:tcPr>
            <w:tcW w:type="dxa" w:w="1440"/>
          </w:tcPr>
          <w:p>
            <w:r>
              <w:rPr>
                <w:rFonts w:ascii="Calibri" w:hAnsi="Calibri"/>
                <w:sz w:val="22"/>
              </w:rPr>
              <w:t>1,272 shares</w:t>
            </w:r>
          </w:p>
        </w:tc>
        <w:tc>
          <w:tcPr>
            <w:tcW w:type="dxa" w:w="1440"/>
          </w:tcPr>
          <w:p>
            <w:r>
              <w:rPr>
                <w:rFonts w:ascii="Calibri" w:hAnsi="Calibri"/>
                <w:sz w:val="22"/>
              </w:rPr>
              <w:t>May 27, 2026</w:t>
            </w:r>
          </w:p>
        </w:tc>
        <w:tc>
          <w:tcPr>
            <w:tcW w:type="dxa" w:w="1440"/>
          </w:tcPr>
          <w:p>
            <w:r>
              <w:rPr>
                <w:rFonts w:ascii="Calibri" w:hAnsi="Calibri"/>
                <w:sz w:val="22"/>
              </w:rPr>
              <w:t>Routine annual director equity compensation grant.</w:t>
            </w:r>
          </w:p>
        </w:tc>
      </w:tr>
      <w:tr>
        <w:tc>
          <w:tcPr>
            <w:tcW w:type="dxa" w:w="1440"/>
          </w:tcPr>
          <w:p>
            <w:r>
              <w:rPr>
                <w:rFonts w:ascii="Calibri" w:hAnsi="Calibri"/>
                <w:sz w:val="22"/>
              </w:rPr>
              <w:t>Moyo Dambisa F</w:t>
            </w:r>
          </w:p>
        </w:tc>
        <w:tc>
          <w:tcPr>
            <w:tcW w:type="dxa" w:w="1440"/>
          </w:tcPr>
          <w:p>
            <w:r>
              <w:rPr>
                <w:rFonts w:ascii="Calibri" w:hAnsi="Calibri"/>
                <w:sz w:val="22"/>
              </w:rPr>
              <w:t>Director</w:t>
            </w:r>
          </w:p>
        </w:tc>
        <w:tc>
          <w:tcPr>
            <w:tcW w:type="dxa" w:w="1440"/>
          </w:tcPr>
          <w:p>
            <w:r>
              <w:rPr>
                <w:rFonts w:ascii="Calibri" w:hAnsi="Calibri"/>
                <w:sz w:val="22"/>
              </w:rPr>
              <w:t>Award (Compensation Grant) + Gift (May 6)</w:t>
            </w:r>
          </w:p>
        </w:tc>
        <w:tc>
          <w:tcPr>
            <w:tcW w:type="dxa" w:w="1440"/>
          </w:tcPr>
          <w:p>
            <w:r>
              <w:rPr>
                <w:rFonts w:ascii="Calibri" w:hAnsi="Calibri"/>
                <w:sz w:val="22"/>
              </w:rPr>
              <w:t>1,272 shares (May 27) + 780 shares gifted (May 6)</w:t>
            </w:r>
          </w:p>
        </w:tc>
        <w:tc>
          <w:tcPr>
            <w:tcW w:type="dxa" w:w="1440"/>
          </w:tcPr>
          <w:p>
            <w:r>
              <w:rPr>
                <w:rFonts w:ascii="Calibri" w:hAnsi="Calibri"/>
                <w:sz w:val="22"/>
              </w:rPr>
              <w:t>May 6 &amp; May 27, 2026</w:t>
            </w:r>
          </w:p>
        </w:tc>
        <w:tc>
          <w:tcPr>
            <w:tcW w:type="dxa" w:w="1440"/>
          </w:tcPr>
          <w:p>
            <w:r>
              <w:rPr>
                <w:rFonts w:ascii="Calibri" w:hAnsi="Calibri"/>
                <w:sz w:val="22"/>
              </w:rPr>
              <w:t>Routine grant + charitable gift (Form 4 code G). Not an open-market sale.</w:t>
            </w:r>
          </w:p>
        </w:tc>
      </w:tr>
      <w:tr>
        <w:tc>
          <w:tcPr>
            <w:tcW w:type="dxa" w:w="1440"/>
          </w:tcPr>
          <w:p>
            <w:r>
              <w:rPr>
                <w:rFonts w:ascii="Calibri" w:hAnsi="Calibri"/>
                <w:sz w:val="22"/>
              </w:rPr>
              <w:t>REED DEBRA L</w:t>
            </w:r>
          </w:p>
        </w:tc>
        <w:tc>
          <w:tcPr>
            <w:tcW w:type="dxa" w:w="1440"/>
          </w:tcPr>
          <w:p>
            <w:r>
              <w:rPr>
                <w:rFonts w:ascii="Calibri" w:hAnsi="Calibri"/>
                <w:sz w:val="22"/>
              </w:rPr>
              <w:t>Director</w:t>
            </w:r>
          </w:p>
        </w:tc>
        <w:tc>
          <w:tcPr>
            <w:tcW w:type="dxa" w:w="1440"/>
          </w:tcPr>
          <w:p>
            <w:r>
              <w:rPr>
                <w:rFonts w:ascii="Calibri" w:hAnsi="Calibri"/>
                <w:sz w:val="22"/>
              </w:rPr>
              <w:t>Award (Compensation Grant)</w:t>
            </w:r>
          </w:p>
        </w:tc>
        <w:tc>
          <w:tcPr>
            <w:tcW w:type="dxa" w:w="1440"/>
          </w:tcPr>
          <w:p>
            <w:r>
              <w:rPr>
                <w:rFonts w:ascii="Calibri" w:hAnsi="Calibri"/>
                <w:sz w:val="22"/>
              </w:rPr>
              <w:t>1,272 shares</w:t>
            </w:r>
          </w:p>
        </w:tc>
        <w:tc>
          <w:tcPr>
            <w:tcW w:type="dxa" w:w="1440"/>
          </w:tcPr>
          <w:p>
            <w:r>
              <w:rPr>
                <w:rFonts w:ascii="Calibri" w:hAnsi="Calibri"/>
                <w:sz w:val="22"/>
              </w:rPr>
              <w:t>May 27, 2026</w:t>
            </w:r>
          </w:p>
        </w:tc>
        <w:tc>
          <w:tcPr>
            <w:tcW w:type="dxa" w:w="1440"/>
          </w:tcPr>
          <w:p>
            <w:r>
              <w:rPr>
                <w:rFonts w:ascii="Calibri" w:hAnsi="Calibri"/>
                <w:sz w:val="22"/>
              </w:rPr>
              <w:t>Routine annual director equity compensation grant.</w:t>
            </w:r>
          </w:p>
        </w:tc>
      </w:tr>
      <w:tr>
        <w:tc>
          <w:tcPr>
            <w:tcW w:type="dxa" w:w="1440"/>
          </w:tcPr>
          <w:p>
            <w:r>
              <w:rPr>
                <w:rFonts w:ascii="Calibri" w:hAnsi="Calibri"/>
                <w:sz w:val="22"/>
              </w:rPr>
              <w:t>Umpleby III Donald J</w:t>
            </w:r>
          </w:p>
        </w:tc>
        <w:tc>
          <w:tcPr>
            <w:tcW w:type="dxa" w:w="1440"/>
          </w:tcPr>
          <w:p>
            <w:r>
              <w:rPr>
                <w:rFonts w:ascii="Calibri" w:hAnsi="Calibri"/>
                <w:sz w:val="22"/>
              </w:rPr>
              <w:t>Director</w:t>
            </w:r>
          </w:p>
        </w:tc>
        <w:tc>
          <w:tcPr>
            <w:tcW w:type="dxa" w:w="1440"/>
          </w:tcPr>
          <w:p>
            <w:r>
              <w:rPr>
                <w:rFonts w:ascii="Calibri" w:hAnsi="Calibri"/>
                <w:sz w:val="22"/>
              </w:rPr>
              <w:t>Award (Compensation Grant)</w:t>
            </w:r>
          </w:p>
        </w:tc>
        <w:tc>
          <w:tcPr>
            <w:tcW w:type="dxa" w:w="1440"/>
          </w:tcPr>
          <w:p>
            <w:r>
              <w:rPr>
                <w:rFonts w:ascii="Calibri" w:hAnsi="Calibri"/>
                <w:sz w:val="22"/>
              </w:rPr>
              <w:t>1,272 shares</w:t>
            </w:r>
          </w:p>
        </w:tc>
        <w:tc>
          <w:tcPr>
            <w:tcW w:type="dxa" w:w="1440"/>
          </w:tcPr>
          <w:p>
            <w:r>
              <w:rPr>
                <w:rFonts w:ascii="Calibri" w:hAnsi="Calibri"/>
                <w:sz w:val="22"/>
              </w:rPr>
              <w:t>May 27, 2026</w:t>
            </w:r>
          </w:p>
        </w:tc>
        <w:tc>
          <w:tcPr>
            <w:tcW w:type="dxa" w:w="1440"/>
          </w:tcPr>
          <w:p>
            <w:r>
              <w:rPr>
                <w:rFonts w:ascii="Calibri" w:hAnsi="Calibri"/>
                <w:sz w:val="22"/>
              </w:rPr>
              <w:t>Routine annual director equity compensation grant.</w:t>
            </w:r>
          </w:p>
        </w:tc>
      </w:tr>
      <w:tr>
        <w:tc>
          <w:tcPr>
            <w:tcW w:type="dxa" w:w="1440"/>
          </w:tcPr>
          <w:p>
            <w:r>
              <w:rPr>
                <w:rFonts w:ascii="Calibri" w:hAnsi="Calibri"/>
                <w:sz w:val="22"/>
              </w:rPr>
              <w:t>WARNER CYNTHIA J</w:t>
            </w:r>
          </w:p>
        </w:tc>
        <w:tc>
          <w:tcPr>
            <w:tcW w:type="dxa" w:w="1440"/>
          </w:tcPr>
          <w:p>
            <w:r>
              <w:rPr>
                <w:rFonts w:ascii="Calibri" w:hAnsi="Calibri"/>
                <w:sz w:val="22"/>
              </w:rPr>
              <w:t>Director</w:t>
            </w:r>
          </w:p>
        </w:tc>
        <w:tc>
          <w:tcPr>
            <w:tcW w:type="dxa" w:w="1440"/>
          </w:tcPr>
          <w:p>
            <w:r>
              <w:rPr>
                <w:rFonts w:ascii="Calibri" w:hAnsi="Calibri"/>
                <w:sz w:val="22"/>
              </w:rPr>
              <w:t>Award (Compensation Grant)</w:t>
            </w:r>
          </w:p>
        </w:tc>
        <w:tc>
          <w:tcPr>
            <w:tcW w:type="dxa" w:w="1440"/>
          </w:tcPr>
          <w:p>
            <w:r>
              <w:rPr>
                <w:rFonts w:ascii="Calibri" w:hAnsi="Calibri"/>
                <w:sz w:val="22"/>
              </w:rPr>
              <w:t>1,272 shares (May 27) + 20 Phantom Stock (June 1)</w:t>
            </w:r>
          </w:p>
        </w:tc>
        <w:tc>
          <w:tcPr>
            <w:tcW w:type="dxa" w:w="1440"/>
          </w:tcPr>
          <w:p>
            <w:r>
              <w:rPr>
                <w:rFonts w:ascii="Calibri" w:hAnsi="Calibri"/>
                <w:sz w:val="22"/>
              </w:rPr>
              <w:t>May 27 &amp; June 1, 2026</w:t>
            </w:r>
          </w:p>
        </w:tc>
        <w:tc>
          <w:tcPr>
            <w:tcW w:type="dxa" w:w="1440"/>
          </w:tcPr>
          <w:p>
            <w:r>
              <w:rPr>
                <w:rFonts w:ascii="Calibri" w:hAnsi="Calibri"/>
                <w:sz w:val="22"/>
              </w:rPr>
              <w:t>Routine director compensation grants (equity + phantom stock).</w:t>
            </w:r>
          </w:p>
        </w:tc>
      </w:tr>
    </w:tbl>
    <w:p>
      <w:r>
        <w:rPr>
          <w:rFonts w:ascii="Calibri" w:hAnsi="Calibri"/>
          <w:i/>
          <w:color w:val="525866"/>
          <w:sz w:val="22"/>
        </w:rPr>
        <w:t>Source: Insider Transaction Data (SEC Form 4 filings). Open-market buys and sells only (Form 4 codes P/S) plus compensation awards (code A) and gifts (code G) shown for completeness. No open-market purchases by any insider in the period. The John Hess trust sales (575,000 shares / ~$108M combined) are the only material discretionary transactions; context is likely post-Hess acquisition estate/trust restructuring rather than a negative signal on CVX's outlook. No 10b5-1 plans were disclosed for any transaction in the period. No executive officer (C-suite) open-market transactions were filed.</w:t>
      </w:r>
    </w:p>
    <w:p>
      <w:r>
        <w:rPr>
          <w:rFonts w:ascii="Calibri" w:hAnsi="Calibri"/>
          <w:b/>
          <w:i/>
          <w:color w:val="525866"/>
          <w:sz w:val="22"/>
        </w:rPr>
        <w:t>— End of Report —</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