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Chevron Corporation (CVX)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Chevron Corporation (NYSE: CVX)</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31, 2026 — Earnings Call at 11:00 AM ET</w:t>
            </w:r>
          </w:p>
        </w:tc>
      </w:tr>
      <w:tr>
        <w:tc>
          <w:tcPr>
            <w:tcW w:type="dxa" w:w="4320"/>
          </w:tcPr>
          <w:p>
            <w:r>
              <w:rPr>
                <w:rFonts w:ascii="Calibri" w:hAnsi="Calibri"/>
                <w:b/>
                <w:sz w:val="22"/>
              </w:rPr>
              <w:t>Prepared</w:t>
            </w:r>
          </w:p>
        </w:tc>
        <w:tc>
          <w:tcPr>
            <w:tcW w:type="dxa" w:w="4320"/>
          </w:tcPr>
          <w:p>
            <w:r>
              <w:rPr>
                <w:rFonts w:ascii="Calibri" w:hAnsi="Calibri"/>
                <w:sz w:val="22"/>
              </w:rPr>
              <w:t>July 30, 2026</w:t>
            </w:r>
          </w:p>
        </w:tc>
      </w:tr>
      <w:tr>
        <w:tc>
          <w:tcPr>
            <w:tcW w:type="dxa" w:w="4320"/>
          </w:tcPr>
          <w:p>
            <w:r>
              <w:rPr>
                <w:rFonts w:ascii="Calibri" w:hAnsi="Calibri"/>
                <w:b/>
                <w:sz w:val="22"/>
              </w:rPr>
              <w:t>Sector ETF Benchmark</w:t>
            </w:r>
          </w:p>
        </w:tc>
        <w:tc>
          <w:tcPr>
            <w:tcW w:type="dxa" w:w="4320"/>
          </w:tcPr>
          <w:p>
            <w:r>
              <w:rPr>
                <w:rFonts w:ascii="Calibri" w:hAnsi="Calibri"/>
                <w:sz w:val="22"/>
              </w:rPr>
              <w:t>XLE (Energy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strongly bullish — consensus EPS of $5.65 is already well above Q1's $1.41 adjusted print, driven by a ~$27/bbl surge in average Brent to ~$96.68, and the biggest swing factor is whether Chevron's integrated downstream value capture (guided to &gt;40% equity crude throughput in Asia) translates into a clean, high-quality beat that the market can underwrite.</w:t>
      </w:r>
    </w:p>
    <w:p>
      <w:r>
        <w:rPr>
          <w:rFonts w:ascii="Calibri" w:hAnsi="Calibri"/>
          <w:b/>
          <w:color w:val="525866"/>
          <w:sz w:val="22"/>
        </w:rPr>
        <w:t xml:space="preserve">Bar: </w:t>
      </w:r>
      <w:r>
        <w:rPr>
          <w:rFonts w:ascii="Calibri" w:hAnsi="Calibri"/>
          <w:color w:val="525866"/>
          <w:sz w:val="22"/>
        </w:rPr>
        <w:t xml:space="preserve">Consensus operating EPS of $5.65 for Q2 2026 represents a massive sequential step-up from Q1's $1.41 adjusted EPS, reflecting the full-quarter benefit of elevated Brent averaging ~$96.68/bbl (up ~23% QoQ per OXY's filing) and the geopolitical risk premium injected by the U.S.-Iran war. The bar is high in absolute terms but arguably still conservative given the commodity tailwind — ExxonMobil pre-announced a $3.5–$3.9B upstream earnings boost from oil prices alone, and Shell reported $9.84B in adjusted earnings, both well above prior expectations. </w:t>
      </w:r>
      <w:r>
        <w:rPr>
          <w:rFonts w:ascii="Calibri" w:hAnsi="Calibri"/>
          <w:b/>
          <w:color w:val="525866"/>
          <w:sz w:val="22"/>
        </w:rPr>
        <w:t>Production consensus of ~4.03 MMboe/d</w:t>
      </w:r>
      <w:r>
        <w:rPr>
          <w:rFonts w:ascii="Calibri" w:hAnsi="Calibri"/>
          <w:color w:val="525866"/>
          <w:sz w:val="22"/>
        </w:rPr>
        <w:t xml:space="preserve"> is the other key bar, with management having guided Q2 production higher than Q1's 3.86 MMboe/d.</w:t>
      </w:r>
    </w:p>
    <w:p>
      <w:r>
        <w:rPr>
          <w:rFonts w:ascii="Calibri" w:hAnsi="Calibri"/>
          <w:b/>
          <w:color w:val="525866"/>
          <w:sz w:val="22"/>
        </w:rPr>
        <w:t xml:space="preserve">Guidance/Tone: </w:t>
      </w:r>
      <w:r>
        <w:rPr>
          <w:rFonts w:ascii="Calibri" w:hAnsi="Calibri"/>
          <w:color w:val="525866"/>
          <w:sz w:val="22"/>
        </w:rPr>
        <w:t>Management reaffirmed all 2026 guidance on the Q1 call (production +7–10% YoY, capex $18–19B, structural cost reductions $3–4B) and raised affiliate distribution guidance by &gt;$2B vs. Q1, with TCO now paying monthly dividends. The June 22 Microsoft/Project Kilby deal (20-year, 2.67 GW natural gas power agreement) and the July 16–17 Iraq investment announcements signal management is actively deploying the balance sheet into new growth vectors, consistent with a confident tone. The CFO publicly stated gas prices would normalize, and the CEO expressed openness to Middle East expansion — both constructive signals.</w:t>
      </w:r>
    </w:p>
    <w:p>
      <w:r>
        <w:rPr>
          <w:rFonts w:ascii="Calibri" w:hAnsi="Calibri"/>
          <w:b/>
          <w:color w:val="525866"/>
          <w:sz w:val="22"/>
        </w:rPr>
        <w:t xml:space="preserve">Estimate Trajectory: </w:t>
      </w:r>
      <w:r>
        <w:rPr>
          <w:rFonts w:ascii="Calibri" w:hAnsi="Calibri"/>
          <w:color w:val="525866"/>
          <w:sz w:val="22"/>
        </w:rPr>
        <w:t>Estimates surged dramatically post-Q1 print: the 2026FY consensus EPS moved from $13.64 (as of May 8) to $14.93 currently (+9.5%), and Q2 consensus jumped from $4.90 to $5.65 (+15.3%) as the oil price spike was incorporated. Revisions are tracking with the commodity move rather than diverging, suggesting the gap is not a risk but a reflection of a genuine macro tailwind. The wildcard is whether timing effects (management guided ~$1B of Q1 paper positions to unwind in Q2) and working capital normalization add further upside to reported free cash flow.</w:t>
      </w:r>
    </w:p>
    <w:p>
      <w:r>
        <w:rPr>
          <w:rFonts w:ascii="Calibri" w:hAnsi="Calibri"/>
          <w:b/>
          <w:color w:val="525866"/>
          <w:sz w:val="22"/>
        </w:rPr>
        <w:t xml:space="preserve">Stock Setup: </w:t>
      </w:r>
      <w:r>
        <w:rPr>
          <w:rFonts w:ascii="Calibri" w:hAnsi="Calibri"/>
          <w:color w:val="525866"/>
          <w:sz w:val="22"/>
        </w:rPr>
        <w:t>CVX is up ~0.9% since the May 1 earnings date (to ~$192), lagging XLE (+0.2%) and SPY (+2.9%) on a simple basis but with significant intra-period volatility — the stock fell to $165.76 by June 30 as oil prices dipped on ceasefire hopes, then rallied sharply to $194+ by late July as hostilities resumed. At 14.1x NTM P/E and 6.9x EV/EBITDA, CVX trades at a modest discount to its own history, suggesting the multiple has not pre-priced a sustained beat cycle. The stock has not fully priced in the free cash flow inflection.</w:t>
      </w:r>
    </w:p>
    <w:p>
      <w:r>
        <w:rPr>
          <w:rFonts w:ascii="Calibri" w:hAnsi="Calibri"/>
          <w:b/>
          <w:color w:val="525866"/>
          <w:sz w:val="22"/>
        </w:rPr>
        <w:t xml:space="preserve">Wildcard: </w:t>
      </w:r>
      <w:r>
        <w:rPr>
          <w:rFonts w:ascii="Calibri" w:hAnsi="Calibri"/>
          <w:color w:val="525866"/>
          <w:sz w:val="22"/>
        </w:rPr>
        <w:t xml:space="preserve">The single biggest swing factor is the </w:t>
      </w:r>
      <w:r>
        <w:rPr>
          <w:rFonts w:ascii="Calibri" w:hAnsi="Calibri"/>
          <w:b/>
          <w:color w:val="525866"/>
          <w:sz w:val="22"/>
        </w:rPr>
        <w:t>Strait of Hormuz trajectory and its impact on downstream integration value capture</w:t>
      </w:r>
      <w:r>
        <w:rPr>
          <w:rFonts w:ascii="Calibri" w:hAnsi="Calibri"/>
          <w:color w:val="525866"/>
          <w:sz w:val="22"/>
        </w:rPr>
        <w:t>. Management guided Q2 global equity crude throughput to more than double YoY to 40% — if realized, this is a structural margin tailwind that the market has not fully modeled. Conversely, any ceasefire that reopens Hormuz could compress crack spreads and reduce the integration premium, creating a negative read-through for Q3 guidance.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high absolute bar — Q2 operating EPS of $5.65 implies a ~4x sequential step-up from Q1 — but the commodity tailwind (Brent ~$96.68/bbl avg in Q2 vs. $81/bbl in Q1) and management's own guidance for higher Q2 production and materially higher affiliate distributions make the bar achievable. </w:t>
      </w:r>
      <w:r>
        <w:rPr>
          <w:rFonts w:ascii="Calibri" w:hAnsi="Calibri"/>
          <w:b/>
          <w:color w:val="525866"/>
          <w:sz w:val="22"/>
        </w:rPr>
        <w:t>Worldwide production (guided higher than Q1's 3.86 MMboe/d) is the bigger swing factor</w:t>
      </w:r>
      <w:r>
        <w:rPr>
          <w:rFonts w:ascii="Calibri" w:hAnsi="Calibri"/>
          <w:color w:val="525866"/>
          <w:sz w:val="22"/>
        </w:rPr>
        <w:t xml:space="preserve"> — any miss there would be more damaging than an EPS miss driven by timing effects.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 $)</w:t>
            </w:r>
          </w:p>
        </w:tc>
        <w:tc>
          <w:tcPr>
            <w:tcW w:type="dxa" w:w="1234"/>
          </w:tcPr>
          <w:p>
            <w:r>
              <w:rPr>
                <w:rFonts w:ascii="Calibri" w:hAnsi="Calibri"/>
                <w:sz w:val="22"/>
              </w:rPr>
              <w:t>$1.41</w:t>
            </w:r>
          </w:p>
        </w:tc>
        <w:tc>
          <w:tcPr>
            <w:tcW w:type="dxa" w:w="1234"/>
          </w:tcPr>
          <w:p>
            <w:r>
              <w:rPr>
                <w:rFonts w:ascii="Calibri" w:hAnsi="Calibri"/>
                <w:sz w:val="22"/>
              </w:rPr>
              <w:t>$1.77</w:t>
            </w:r>
          </w:p>
        </w:tc>
        <w:tc>
          <w:tcPr>
            <w:tcW w:type="dxa" w:w="1234"/>
          </w:tcPr>
          <w:p>
            <w:r>
              <w:rPr>
                <w:rFonts w:ascii="Calibri" w:hAnsi="Calibri"/>
                <w:sz w:val="22"/>
              </w:rPr>
              <w:t>$5.65</w:t>
            </w:r>
          </w:p>
        </w:tc>
        <w:tc>
          <w:tcPr>
            <w:tcW w:type="dxa" w:w="1234"/>
          </w:tcPr>
          <w:p>
            <w:r>
              <w:rPr>
                <w:rFonts w:ascii="Calibri" w:hAnsi="Calibri"/>
                <w:b/>
                <w:color w:val="30A46C"/>
                <w:sz w:val="22"/>
              </w:rPr>
              <w:t>+219% YoY</w:t>
            </w:r>
          </w:p>
        </w:tc>
        <w:tc>
          <w:tcPr>
            <w:tcW w:type="dxa" w:w="1234"/>
          </w:tcPr>
          <w:p>
            <w:r>
              <w:rPr>
                <w:rFonts w:ascii="Calibri" w:hAnsi="Calibri"/>
                <w:sz w:val="22"/>
              </w:rPr>
              <w:t>No specific Q2 EPS guidance; FY2026 guided at $70 Brent base</w:t>
            </w:r>
          </w:p>
        </w:tc>
        <w:tc>
          <w:tcPr>
            <w:tcW w:type="dxa" w:w="1234"/>
          </w:tcPr>
          <w:p>
            <w:r>
              <w:rPr>
                <w:rFonts w:ascii="Calibri" w:hAnsi="Calibri"/>
                <w:sz w:val="22"/>
              </w:rPr>
              <w:t>N/A (no quarterly EPS guidance)</w:t>
            </w:r>
          </w:p>
        </w:tc>
      </w:tr>
      <w:tr>
        <w:tc>
          <w:tcPr>
            <w:tcW w:type="dxa" w:w="1234"/>
          </w:tcPr>
          <w:p>
            <w:r>
              <w:rPr>
                <w:rFonts w:ascii="Calibri" w:hAnsi="Calibri"/>
                <w:sz w:val="22"/>
              </w:rPr>
              <w:t>Worldwide Production (Mboe/d)</w:t>
            </w:r>
          </w:p>
        </w:tc>
        <w:tc>
          <w:tcPr>
            <w:tcW w:type="dxa" w:w="1234"/>
          </w:tcPr>
          <w:p>
            <w:r>
              <w:rPr>
                <w:rFonts w:ascii="Calibri" w:hAnsi="Calibri"/>
                <w:sz w:val="22"/>
              </w:rPr>
              <w:t>3,858</w:t>
            </w:r>
          </w:p>
        </w:tc>
        <w:tc>
          <w:tcPr>
            <w:tcW w:type="dxa" w:w="1234"/>
          </w:tcPr>
          <w:p>
            <w:r>
              <w:rPr>
                <w:rFonts w:ascii="Calibri" w:hAnsi="Calibri"/>
                <w:sz w:val="22"/>
              </w:rPr>
              <w:t>3,395</w:t>
            </w:r>
          </w:p>
        </w:tc>
        <w:tc>
          <w:tcPr>
            <w:tcW w:type="dxa" w:w="1234"/>
          </w:tcPr>
          <w:p>
            <w:r>
              <w:rPr>
                <w:rFonts w:ascii="Calibri" w:hAnsi="Calibri"/>
                <w:sz w:val="22"/>
              </w:rPr>
              <w:t>4,030</w:t>
            </w:r>
          </w:p>
        </w:tc>
        <w:tc>
          <w:tcPr>
            <w:tcW w:type="dxa" w:w="1234"/>
          </w:tcPr>
          <w:p>
            <w:r>
              <w:rPr>
                <w:rFonts w:ascii="Calibri" w:hAnsi="Calibri"/>
                <w:b/>
                <w:color w:val="30A46C"/>
                <w:sz w:val="22"/>
              </w:rPr>
              <w:t>+18.7% YoY</w:t>
            </w:r>
          </w:p>
        </w:tc>
        <w:tc>
          <w:tcPr>
            <w:tcW w:type="dxa" w:w="1234"/>
          </w:tcPr>
          <w:p>
            <w:r>
              <w:rPr>
                <w:rFonts w:ascii="Calibri" w:hAnsi="Calibri"/>
                <w:sz w:val="22"/>
              </w:rPr>
              <w:t>Q2 production guided higher than Q1 (3,858 Mboe/d); FY +7–10% YoY</w:t>
            </w:r>
          </w:p>
        </w:tc>
        <w:tc>
          <w:tcPr>
            <w:tcW w:type="dxa" w:w="1234"/>
          </w:tcPr>
          <w:p>
            <w:r>
              <w:rPr>
                <w:rFonts w:ascii="Calibri" w:hAnsi="Calibri"/>
                <w:sz w:val="22"/>
              </w:rPr>
              <w:t>~+4.5% above Q1 guidance floor</w:t>
            </w:r>
          </w:p>
        </w:tc>
      </w:tr>
      <w:tr>
        <w:tc>
          <w:tcPr>
            <w:tcW w:type="dxa" w:w="1234"/>
          </w:tcPr>
          <w:p>
            <w:r>
              <w:rPr>
                <w:rFonts w:ascii="Calibri" w:hAnsi="Calibri"/>
                <w:sz w:val="22"/>
              </w:rPr>
              <w:t>Free Cash Flow ($B)</w:t>
            </w:r>
          </w:p>
        </w:tc>
        <w:tc>
          <w:tcPr>
            <w:tcW w:type="dxa" w:w="1234"/>
          </w:tcPr>
          <w:p>
            <w:r>
              <w:rPr>
                <w:rFonts w:ascii="Calibri" w:hAnsi="Calibri"/>
                <w:sz w:val="22"/>
              </w:rPr>
              <w:t>-$1.5B (reported); +$4.1B adjusted</w:t>
            </w:r>
          </w:p>
        </w:tc>
        <w:tc>
          <w:tcPr>
            <w:tcW w:type="dxa" w:w="1234"/>
          </w:tcPr>
          <w:p>
            <w:r>
              <w:rPr>
                <w:rFonts w:ascii="Calibri" w:hAnsi="Calibri"/>
                <w:sz w:val="22"/>
              </w:rPr>
              <w:t>$4.9B</w:t>
            </w:r>
          </w:p>
        </w:tc>
        <w:tc>
          <w:tcPr>
            <w:tcW w:type="dxa" w:w="1234"/>
          </w:tcPr>
          <w:p>
            <w:r>
              <w:rPr>
                <w:rFonts w:ascii="Calibri" w:hAnsi="Calibri"/>
                <w:sz w:val="22"/>
              </w:rPr>
              <w:t>$14.8B</w:t>
            </w:r>
          </w:p>
        </w:tc>
        <w:tc>
          <w:tcPr>
            <w:tcW w:type="dxa" w:w="1234"/>
          </w:tcPr>
          <w:p>
            <w:r>
              <w:rPr>
                <w:rFonts w:ascii="Calibri" w:hAnsi="Calibri"/>
                <w:b/>
                <w:color w:val="30A46C"/>
                <w:sz w:val="22"/>
              </w:rPr>
              <w:t>+204% YoY</w:t>
            </w:r>
          </w:p>
        </w:tc>
        <w:tc>
          <w:tcPr>
            <w:tcW w:type="dxa" w:w="1234"/>
          </w:tcPr>
          <w:p>
            <w:r>
              <w:rPr>
                <w:rFonts w:ascii="Calibri" w:hAnsi="Calibri"/>
                <w:sz w:val="22"/>
              </w:rPr>
              <w:t>~$1B timing unwind from Q1 paper positions expected in Q2; TCO FCF $6B FY guide</w:t>
            </w:r>
          </w:p>
        </w:tc>
        <w:tc>
          <w:tcPr>
            <w:tcW w:type="dxa" w:w="1234"/>
          </w:tcPr>
          <w:p>
            <w:r>
              <w:rPr>
                <w:rFonts w:ascii="Calibri" w:hAnsi="Calibri"/>
                <w:sz w:val="22"/>
              </w:rPr>
              <w:t>N/A (no quarterly FCF guidance)</w:t>
            </w:r>
          </w:p>
        </w:tc>
      </w:tr>
      <w:tr>
        <w:tc>
          <w:tcPr>
            <w:tcW w:type="dxa" w:w="1234"/>
          </w:tcPr>
          <w:p>
            <w:r>
              <w:rPr>
                <w:rFonts w:ascii="Calibri" w:hAnsi="Calibri"/>
                <w:sz w:val="22"/>
              </w:rPr>
              <w:t>Capital Expenditure ($B)</w:t>
            </w:r>
          </w:p>
        </w:tc>
        <w:tc>
          <w:tcPr>
            <w:tcW w:type="dxa" w:w="1234"/>
          </w:tcPr>
          <w:p>
            <w:r>
              <w:rPr>
                <w:rFonts w:ascii="Calibri" w:hAnsi="Calibri"/>
                <w:sz w:val="22"/>
              </w:rPr>
              <w:t>$4.1B</w:t>
            </w:r>
          </w:p>
        </w:tc>
        <w:tc>
          <w:tcPr>
            <w:tcW w:type="dxa" w:w="1234"/>
          </w:tcPr>
          <w:p>
            <w:r>
              <w:rPr>
                <w:rFonts w:ascii="Calibri" w:hAnsi="Calibri"/>
                <w:sz w:val="22"/>
              </w:rPr>
              <w:t>$3.7B</w:t>
            </w:r>
          </w:p>
        </w:tc>
        <w:tc>
          <w:tcPr>
            <w:tcW w:type="dxa" w:w="1234"/>
          </w:tcPr>
          <w:p>
            <w:r>
              <w:rPr>
                <w:rFonts w:ascii="Calibri" w:hAnsi="Calibri"/>
                <w:sz w:val="22"/>
              </w:rPr>
              <w:t>$4.5B</w:t>
            </w:r>
          </w:p>
        </w:tc>
        <w:tc>
          <w:tcPr>
            <w:tcW w:type="dxa" w:w="1234"/>
          </w:tcPr>
          <w:p>
            <w:r>
              <w:rPr>
                <w:rFonts w:ascii="Calibri" w:hAnsi="Calibri"/>
                <w:b/>
                <w:color w:val="E5484D"/>
                <w:sz w:val="22"/>
              </w:rPr>
              <w:t>+22% YoY</w:t>
            </w:r>
          </w:p>
        </w:tc>
        <w:tc>
          <w:tcPr>
            <w:tcW w:type="dxa" w:w="1234"/>
          </w:tcPr>
          <w:p>
            <w:r>
              <w:rPr>
                <w:rFonts w:ascii="Calibri" w:hAnsi="Calibri"/>
                <w:sz w:val="22"/>
              </w:rPr>
              <w:t>FY2026 capex $18–19B; H1 historically lighter</w:t>
            </w:r>
          </w:p>
        </w:tc>
        <w:tc>
          <w:tcPr>
            <w:tcW w:type="dxa" w:w="1234"/>
          </w:tcPr>
          <w:p>
            <w:r>
              <w:rPr>
                <w:rFonts w:ascii="Calibri" w:hAnsi="Calibri"/>
                <w:sz w:val="22"/>
              </w:rPr>
              <w:t>~+1% above FY midpoint run-rate</w:t>
            </w:r>
          </w:p>
        </w:tc>
      </w:tr>
      <w:tr>
        <w:tc>
          <w:tcPr>
            <w:tcW w:type="dxa" w:w="1234"/>
          </w:tcPr>
          <w:p>
            <w:r>
              <w:rPr>
                <w:rFonts w:ascii="Calibri" w:hAnsi="Calibri"/>
                <w:sz w:val="22"/>
              </w:rPr>
              <w:t>Sales &amp; Other Operating Revenue ($B)</w:t>
            </w:r>
          </w:p>
        </w:tc>
        <w:tc>
          <w:tcPr>
            <w:tcW w:type="dxa" w:w="1234"/>
          </w:tcPr>
          <w:p>
            <w:r>
              <w:rPr>
                <w:rFonts w:ascii="Calibri" w:hAnsi="Calibri"/>
                <w:sz w:val="22"/>
              </w:rPr>
              <w:t>~$47B (Q1 2026 est.)</w:t>
            </w:r>
          </w:p>
        </w:tc>
        <w:tc>
          <w:tcPr>
            <w:tcW w:type="dxa" w:w="1234"/>
          </w:tcPr>
          <w:p>
            <w:r>
              <w:rPr>
                <w:rFonts w:ascii="Calibri" w:hAnsi="Calibri"/>
                <w:sz w:val="22"/>
              </w:rPr>
              <w:t>~$48B</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Equity Affiliate Distributions ($B)</w:t>
            </w:r>
          </w:p>
        </w:tc>
        <w:tc>
          <w:tcPr>
            <w:tcW w:type="dxa" w:w="1234"/>
          </w:tcPr>
          <w:p>
            <w:r>
              <w:rPr>
                <w:rFonts w:ascii="Calibri" w:hAnsi="Calibri"/>
                <w:sz w:val="22"/>
              </w:rPr>
              <w:t>~$2.5B (Q1 est.)</w:t>
            </w:r>
          </w:p>
        </w:tc>
        <w:tc>
          <w:tcPr>
            <w:tcW w:type="dxa" w:w="1234"/>
          </w:tcPr>
          <w:p>
            <w:r>
              <w:rPr>
                <w:rFonts w:ascii="Calibri" w:hAnsi="Calibri"/>
                <w:sz w:val="22"/>
              </w:rPr>
              <w:t>N/A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&gt;$2B above Q1 level; ~70% of FY guide by end of Q2</w:t>
            </w:r>
          </w:p>
        </w:tc>
        <w:tc>
          <w:tcPr>
            <w:tcW w:type="dxa" w:w="1234"/>
          </w:tcPr>
          <w:p>
            <w:r>
              <w:rPr>
                <w:rFonts w:ascii="Calibri" w:hAnsi="Calibri"/>
                <w:sz w:val="22"/>
              </w:rPr>
              <w:t>N/A</w:t>
            </w:r>
          </w:p>
        </w:tc>
      </w:tr>
    </w:tbl>
    <w:p>
      <w:r>
        <w:rPr>
          <w:rFonts w:ascii="Calibri" w:hAnsi="Calibri"/>
          <w:i/>
          <w:color w:val="525866"/>
          <w:sz w:val="22"/>
        </w:rPr>
        <w:t>Sources: Visible Alpha Consensus and Actuals Data (Operating EPS, Production, FCF, CapEx); CVX Q1 2026 Earnings Release and Transcript (guidance). Operating EPS = EPS – Diluted – Operating($). Production = Oil equivalent volume per day – Worldwide – Upstream (Mboe/d). FCF = Free Cash Flow. CapEx = Capital expenditure.</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Panel A: Operating EPS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$1.41</w:t>
            </w:r>
          </w:p>
        </w:tc>
        <w:tc>
          <w:tcPr>
            <w:tcW w:type="dxa" w:w="1728"/>
          </w:tcPr>
          <w:p>
            <w:r>
              <w:rPr>
                <w:rFonts w:ascii="Calibri" w:hAnsi="Calibri"/>
                <w:sz w:val="22"/>
              </w:rPr>
              <w:t>$1.02</w:t>
            </w:r>
          </w:p>
        </w:tc>
        <w:tc>
          <w:tcPr>
            <w:tcW w:type="dxa" w:w="1728"/>
          </w:tcPr>
          <w:p>
            <w:r>
              <w:rPr>
                <w:rFonts w:ascii="Calibri" w:hAnsi="Calibri"/>
                <w:b/>
                <w:color w:val="30A46C"/>
                <w:sz w:val="22"/>
              </w:rPr>
              <w:t>+38.2%</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$1.52</w:t>
            </w:r>
          </w:p>
        </w:tc>
        <w:tc>
          <w:tcPr>
            <w:tcW w:type="dxa" w:w="1728"/>
          </w:tcPr>
          <w:p>
            <w:r>
              <w:rPr>
                <w:rFonts w:ascii="Calibri" w:hAnsi="Calibri"/>
                <w:sz w:val="22"/>
              </w:rPr>
              <w:t>$1.44</w:t>
            </w:r>
          </w:p>
        </w:tc>
        <w:tc>
          <w:tcPr>
            <w:tcW w:type="dxa" w:w="1728"/>
          </w:tcPr>
          <w:p>
            <w:r>
              <w:rPr>
                <w:rFonts w:ascii="Calibri" w:hAnsi="Calibri"/>
                <w:b/>
                <w:color w:val="30A46C"/>
                <w:sz w:val="22"/>
              </w:rPr>
              <w:t>+5.6%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$1.86</w:t>
            </w:r>
          </w:p>
        </w:tc>
        <w:tc>
          <w:tcPr>
            <w:tcW w:type="dxa" w:w="1728"/>
          </w:tcPr>
          <w:p>
            <w:r>
              <w:rPr>
                <w:rFonts w:ascii="Calibri" w:hAnsi="Calibri"/>
                <w:sz w:val="22"/>
              </w:rPr>
              <w:t>$1.70</w:t>
            </w:r>
          </w:p>
        </w:tc>
        <w:tc>
          <w:tcPr>
            <w:tcW w:type="dxa" w:w="1728"/>
          </w:tcPr>
          <w:p>
            <w:r>
              <w:rPr>
                <w:rFonts w:ascii="Calibri" w:hAnsi="Calibri"/>
                <w:b/>
                <w:color w:val="30A46C"/>
                <w:sz w:val="22"/>
              </w:rPr>
              <w:t>+9.4%</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$1.77</w:t>
            </w:r>
          </w:p>
        </w:tc>
        <w:tc>
          <w:tcPr>
            <w:tcW w:type="dxa" w:w="1728"/>
          </w:tcPr>
          <w:p>
            <w:r>
              <w:rPr>
                <w:rFonts w:ascii="Calibri" w:hAnsi="Calibri"/>
                <w:sz w:val="22"/>
              </w:rPr>
              <w:t>$1.70</w:t>
            </w:r>
          </w:p>
        </w:tc>
        <w:tc>
          <w:tcPr>
            <w:tcW w:type="dxa" w:w="1728"/>
          </w:tcPr>
          <w:p>
            <w:r>
              <w:rPr>
                <w:rFonts w:ascii="Calibri" w:hAnsi="Calibri"/>
                <w:b/>
                <w:color w:val="30A46C"/>
                <w:sz w:val="22"/>
              </w:rPr>
              <w:t>+4.1%</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$2.18</w:t>
            </w:r>
          </w:p>
        </w:tc>
        <w:tc>
          <w:tcPr>
            <w:tcW w:type="dxa" w:w="1728"/>
          </w:tcPr>
          <w:p>
            <w:r>
              <w:rPr>
                <w:rFonts w:ascii="Calibri" w:hAnsi="Calibri"/>
                <w:sz w:val="22"/>
              </w:rPr>
              <w:t>$2.13</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$2.06</w:t>
            </w:r>
          </w:p>
        </w:tc>
        <w:tc>
          <w:tcPr>
            <w:tcW w:type="dxa" w:w="1728"/>
          </w:tcPr>
          <w:p>
            <w:r>
              <w:rPr>
                <w:rFonts w:ascii="Calibri" w:hAnsi="Calibri"/>
                <w:sz w:val="22"/>
              </w:rPr>
              <w:t>$2.15</w:t>
            </w:r>
          </w:p>
        </w:tc>
        <w:tc>
          <w:tcPr>
            <w:tcW w:type="dxa" w:w="1728"/>
          </w:tcPr>
          <w:p>
            <w:r>
              <w:rPr>
                <w:rFonts w:ascii="Calibri" w:hAnsi="Calibri"/>
                <w:b/>
                <w:color w:val="E5484D"/>
                <w:sz w:val="22"/>
              </w:rPr>
              <w:t>-4.2%</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$2.51</w:t>
            </w:r>
          </w:p>
        </w:tc>
        <w:tc>
          <w:tcPr>
            <w:tcW w:type="dxa" w:w="1728"/>
          </w:tcPr>
          <w:p>
            <w:r>
              <w:rPr>
                <w:rFonts w:ascii="Calibri" w:hAnsi="Calibri"/>
                <w:sz w:val="22"/>
              </w:rPr>
              <w:t>$2.46</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Panel B: Worldwide Upstream Production (Mboe/d)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3,858</w:t>
            </w:r>
          </w:p>
        </w:tc>
        <w:tc>
          <w:tcPr>
            <w:tcW w:type="dxa" w:w="1728"/>
          </w:tcPr>
          <w:p>
            <w:r>
              <w:rPr>
                <w:rFonts w:ascii="Calibri" w:hAnsi="Calibri"/>
                <w:sz w:val="22"/>
              </w:rPr>
              <w:t>3,852</w:t>
            </w:r>
          </w:p>
        </w:tc>
        <w:tc>
          <w:tcPr>
            <w:tcW w:type="dxa" w:w="1728"/>
          </w:tcPr>
          <w:p>
            <w:r>
              <w:rPr>
                <w:rFonts w:ascii="Calibri" w:hAnsi="Calibri"/>
                <w:b/>
                <w:color w:val="30A46C"/>
                <w:sz w:val="22"/>
              </w:rPr>
              <w:t>+0.2%</w:t>
            </w:r>
          </w:p>
        </w:tc>
        <w:tc>
          <w:tcPr>
            <w:tcW w:type="dxa" w:w="1728"/>
          </w:tcPr>
          <w:p>
            <w:r>
              <w:rPr>
                <w:rFonts w:ascii="Calibri" w:hAnsi="Calibri"/>
                <w:sz w:val="22"/>
              </w:rPr>
              <w:t>In-Line / Slight Beat</w:t>
            </w:r>
          </w:p>
        </w:tc>
      </w:tr>
      <w:tr>
        <w:tc>
          <w:tcPr>
            <w:tcW w:type="dxa" w:w="1728"/>
          </w:tcPr>
          <w:p>
            <w:r>
              <w:rPr>
                <w:rFonts w:ascii="Calibri" w:hAnsi="Calibri"/>
                <w:sz w:val="22"/>
              </w:rPr>
              <w:t>Q4 2025</w:t>
            </w:r>
          </w:p>
        </w:tc>
        <w:tc>
          <w:tcPr>
            <w:tcW w:type="dxa" w:w="1728"/>
          </w:tcPr>
          <w:p>
            <w:r>
              <w:rPr>
                <w:rFonts w:ascii="Calibri" w:hAnsi="Calibri"/>
                <w:sz w:val="22"/>
              </w:rPr>
              <w:t>4,045</w:t>
            </w:r>
          </w:p>
        </w:tc>
        <w:tc>
          <w:tcPr>
            <w:tcW w:type="dxa" w:w="1728"/>
          </w:tcPr>
          <w:p>
            <w:r>
              <w:rPr>
                <w:rFonts w:ascii="Calibri" w:hAnsi="Calibri"/>
                <w:sz w:val="22"/>
              </w:rPr>
              <w:t>3,994</w:t>
            </w:r>
          </w:p>
        </w:tc>
        <w:tc>
          <w:tcPr>
            <w:tcW w:type="dxa" w:w="1728"/>
          </w:tcPr>
          <w:p>
            <w:r>
              <w:rPr>
                <w:rFonts w:ascii="Calibri" w:hAnsi="Calibri"/>
                <w:b/>
                <w:color w:val="30A46C"/>
                <w:sz w:val="22"/>
              </w:rPr>
              <w:t>+1.3%</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4,085</w:t>
            </w:r>
          </w:p>
        </w:tc>
        <w:tc>
          <w:tcPr>
            <w:tcW w:type="dxa" w:w="1728"/>
          </w:tcPr>
          <w:p>
            <w:r>
              <w:rPr>
                <w:rFonts w:ascii="Calibri" w:hAnsi="Calibri"/>
                <w:sz w:val="22"/>
              </w:rPr>
              <w:t>3,873</w:t>
            </w:r>
          </w:p>
        </w:tc>
        <w:tc>
          <w:tcPr>
            <w:tcW w:type="dxa" w:w="1728"/>
          </w:tcPr>
          <w:p>
            <w:r>
              <w:rPr>
                <w:rFonts w:ascii="Calibri" w:hAnsi="Calibri"/>
                <w:b/>
                <w:color w:val="30A46C"/>
                <w:sz w:val="22"/>
              </w:rPr>
              <w:t>+5.5%</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3,395</w:t>
            </w:r>
          </w:p>
        </w:tc>
        <w:tc>
          <w:tcPr>
            <w:tcW w:type="dxa" w:w="1728"/>
          </w:tcPr>
          <w:p>
            <w:r>
              <w:rPr>
                <w:rFonts w:ascii="Calibri" w:hAnsi="Calibri"/>
                <w:sz w:val="22"/>
              </w:rPr>
              <w:t>3,342</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3,353</w:t>
            </w:r>
          </w:p>
        </w:tc>
        <w:tc>
          <w:tcPr>
            <w:tcW w:type="dxa" w:w="1728"/>
          </w:tcPr>
          <w:p>
            <w:r>
              <w:rPr>
                <w:rFonts w:ascii="Calibri" w:hAnsi="Calibri"/>
                <w:sz w:val="22"/>
              </w:rPr>
              <w:t>3,302</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3,349</w:t>
            </w:r>
          </w:p>
        </w:tc>
        <w:tc>
          <w:tcPr>
            <w:tcW w:type="dxa" w:w="1728"/>
          </w:tcPr>
          <w:p>
            <w:r>
              <w:rPr>
                <w:rFonts w:ascii="Calibri" w:hAnsi="Calibri"/>
                <w:sz w:val="22"/>
              </w:rPr>
              <w:t>3,316</w:t>
            </w:r>
          </w:p>
        </w:tc>
        <w:tc>
          <w:tcPr>
            <w:tcW w:type="dxa" w:w="1728"/>
          </w:tcPr>
          <w:p>
            <w:r>
              <w:rPr>
                <w:rFonts w:ascii="Calibri" w:hAnsi="Calibri"/>
                <w:b/>
                <w:color w:val="30A46C"/>
                <w:sz w:val="22"/>
              </w:rPr>
              <w:t>+1.0%</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3,364</w:t>
            </w:r>
          </w:p>
        </w:tc>
        <w:tc>
          <w:tcPr>
            <w:tcW w:type="dxa" w:w="1728"/>
          </w:tcPr>
          <w:p>
            <w:r>
              <w:rPr>
                <w:rFonts w:ascii="Calibri" w:hAnsi="Calibri"/>
                <w:sz w:val="22"/>
              </w:rPr>
              <w:t>3,280</w:t>
            </w:r>
          </w:p>
        </w:tc>
        <w:tc>
          <w:tcPr>
            <w:tcW w:type="dxa" w:w="1728"/>
          </w:tcPr>
          <w:p>
            <w:r>
              <w:rPr>
                <w:rFonts w:ascii="Calibri" w:hAnsi="Calibri"/>
                <w:b/>
                <w:color w:val="30A46C"/>
                <w:sz w:val="22"/>
              </w:rPr>
              <w:t>+2.6%</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CVX has beaten operating EPS consensus in 6 of the last 7 reported quarters (one miss in Q4 2024), with the Q1 2026 beat of +38% being the largest in the window — driven by a consensus that had been heavily revised down ahead of the print. On production, CVX has beaten consensus in every quarter in the window, with the largest beat in Q3 2025 (+5.5%) reflecting the Hess integration ramp. The consistent production beat pattern is a structural positive heading into Q2.</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All 2026 guidance was reaffirmed unchanged on the Q1 call, and the only post-earnings update was a material positive — affiliate distribution guidance raised by &gt;$2B — reflecting TCO's shift to monthly dividends. The Microsoft/Project Kilby deal (June 22) is the most significant post-earnings development, adding a new long-term revenue stream that was not in any prior guidance framework.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Production Growth</w:t>
            </w:r>
          </w:p>
        </w:tc>
        <w:tc>
          <w:tcPr>
            <w:tcW w:type="dxa" w:w="1728"/>
          </w:tcPr>
          <w:p>
            <w:r>
              <w:rPr>
                <w:rFonts w:ascii="Calibri" w:hAnsi="Calibri"/>
                <w:sz w:val="22"/>
              </w:rPr>
              <w:t>+7% to +10% YoY</w:t>
            </w:r>
          </w:p>
        </w:tc>
        <w:tc>
          <w:tcPr>
            <w:tcW w:type="dxa" w:w="1728"/>
          </w:tcPr>
          <w:p>
            <w:r>
              <w:rPr>
                <w:rFonts w:ascii="Calibri" w:hAnsi="Calibri"/>
                <w:sz w:val="22"/>
              </w:rPr>
              <w:t>—</w:t>
            </w:r>
          </w:p>
        </w:tc>
        <w:tc>
          <w:tcPr>
            <w:tcW w:type="dxa" w:w="1728"/>
          </w:tcPr>
          <w:p>
            <w:r>
              <w:rPr>
                <w:rFonts w:ascii="Calibri" w:hAnsi="Calibri"/>
                <w:sz w:val="22"/>
              </w:rPr>
              <w:t>~4.02 MMboe/d FY avg (VA)</w:t>
            </w:r>
          </w:p>
        </w:tc>
        <w:tc>
          <w:tcPr>
            <w:tcW w:type="dxa" w:w="1728"/>
          </w:tcPr>
          <w:p>
            <w:r>
              <w:rPr>
                <w:rFonts w:ascii="Calibri" w:hAnsi="Calibri"/>
                <w:sz w:val="22"/>
              </w:rPr>
              <w:t>Unchanged; reconfirmed on Q1 call</w:t>
            </w:r>
          </w:p>
        </w:tc>
      </w:tr>
      <w:tr>
        <w:tc>
          <w:tcPr>
            <w:tcW w:type="dxa" w:w="1728"/>
          </w:tcPr>
          <w:p>
            <w:r>
              <w:rPr>
                <w:rFonts w:ascii="Calibri" w:hAnsi="Calibri"/>
                <w:sz w:val="22"/>
              </w:rPr>
              <w:t>FY2026 Capital Expenditure</w:t>
            </w:r>
          </w:p>
        </w:tc>
        <w:tc>
          <w:tcPr>
            <w:tcW w:type="dxa" w:w="1728"/>
          </w:tcPr>
          <w:p>
            <w:r>
              <w:rPr>
                <w:rFonts w:ascii="Calibri" w:hAnsi="Calibri"/>
                <w:sz w:val="22"/>
              </w:rPr>
              <w:t>$18B–$19B</w:t>
            </w:r>
          </w:p>
        </w:tc>
        <w:tc>
          <w:tcPr>
            <w:tcW w:type="dxa" w:w="1728"/>
          </w:tcPr>
          <w:p>
            <w:r>
              <w:rPr>
                <w:rFonts w:ascii="Calibri" w:hAnsi="Calibri"/>
                <w:sz w:val="22"/>
              </w:rPr>
              <w:t>—</w:t>
            </w:r>
          </w:p>
        </w:tc>
        <w:tc>
          <w:tcPr>
            <w:tcW w:type="dxa" w:w="1728"/>
          </w:tcPr>
          <w:p>
            <w:r>
              <w:rPr>
                <w:rFonts w:ascii="Calibri" w:hAnsi="Calibri"/>
                <w:sz w:val="22"/>
              </w:rPr>
              <w:t>$18.1B (VA)</w:t>
            </w:r>
          </w:p>
        </w:tc>
        <w:tc>
          <w:tcPr>
            <w:tcW w:type="dxa" w:w="1728"/>
          </w:tcPr>
          <w:p>
            <w:r>
              <w:rPr>
                <w:rFonts w:ascii="Calibri" w:hAnsi="Calibri"/>
                <w:sz w:val="22"/>
              </w:rPr>
              <w:t>Unchanged; on track per Q1 call</w:t>
            </w:r>
          </w:p>
        </w:tc>
      </w:tr>
      <w:tr>
        <w:tc>
          <w:tcPr>
            <w:tcW w:type="dxa" w:w="1728"/>
          </w:tcPr>
          <w:p>
            <w:r>
              <w:rPr>
                <w:rFonts w:ascii="Calibri" w:hAnsi="Calibri"/>
                <w:sz w:val="22"/>
              </w:rPr>
              <w:t>Structural Cost Reductions</w:t>
            </w:r>
          </w:p>
        </w:tc>
        <w:tc>
          <w:tcPr>
            <w:tcW w:type="dxa" w:w="1728"/>
          </w:tcPr>
          <w:p>
            <w:r>
              <w:rPr>
                <w:rFonts w:ascii="Calibri" w:hAnsi="Calibri"/>
                <w:sz w:val="22"/>
              </w:rPr>
              <w:t>$3B–$4B by year-end 2026</w:t>
            </w:r>
          </w:p>
        </w:tc>
        <w:tc>
          <w:tcPr>
            <w:tcW w:type="dxa" w:w="1728"/>
          </w:tcPr>
          <w:p>
            <w:r>
              <w:rPr>
                <w:rFonts w:ascii="Calibri" w:hAnsi="Calibri"/>
                <w:sz w:val="22"/>
              </w:rPr>
              <w:t>—</w:t>
            </w:r>
          </w:p>
        </w:tc>
        <w:tc>
          <w:tcPr>
            <w:tcW w:type="dxa" w:w="1728"/>
          </w:tcPr>
          <w:p>
            <w:r>
              <w:rPr>
                <w:rFonts w:ascii="Calibri" w:hAnsi="Calibri"/>
                <w:sz w:val="22"/>
              </w:rPr>
              <w:t>On track per management</w:t>
            </w:r>
          </w:p>
        </w:tc>
        <w:tc>
          <w:tcPr>
            <w:tcW w:type="dxa" w:w="1728"/>
          </w:tcPr>
          <w:p>
            <w:r>
              <w:rPr>
                <w:rFonts w:ascii="Calibri" w:hAnsi="Calibri"/>
                <w:sz w:val="22"/>
              </w:rPr>
              <w:t>Unchanged; &gt;60% from durable efficiency gains</w:t>
            </w:r>
          </w:p>
        </w:tc>
      </w:tr>
      <w:tr>
        <w:tc>
          <w:tcPr>
            <w:tcW w:type="dxa" w:w="1728"/>
          </w:tcPr>
          <w:p>
            <w:r>
              <w:rPr>
                <w:rFonts w:ascii="Calibri" w:hAnsi="Calibri"/>
                <w:sz w:val="22"/>
              </w:rPr>
              <w:t>Share Buyback Range</w:t>
            </w:r>
          </w:p>
        </w:tc>
        <w:tc>
          <w:tcPr>
            <w:tcW w:type="dxa" w:w="1728"/>
          </w:tcPr>
          <w:p>
            <w:r>
              <w:rPr>
                <w:rFonts w:ascii="Calibri" w:hAnsi="Calibri"/>
                <w:sz w:val="22"/>
              </w:rPr>
              <w:t>$2.5B–$3.0B per quarter</w:t>
            </w:r>
          </w:p>
        </w:tc>
        <w:tc>
          <w:tcPr>
            <w:tcW w:type="dxa" w:w="1728"/>
          </w:tcPr>
          <w:p>
            <w:r>
              <w:rPr>
                <w:rFonts w:ascii="Calibri" w:hAnsi="Calibri"/>
                <w:sz w:val="22"/>
              </w:rPr>
              <w:t>—</w:t>
            </w:r>
          </w:p>
        </w:tc>
        <w:tc>
          <w:tcPr>
            <w:tcW w:type="dxa" w:w="1728"/>
          </w:tcPr>
          <w:p>
            <w:r>
              <w:rPr>
                <w:rFonts w:ascii="Calibri" w:hAnsi="Calibri"/>
                <w:sz w:val="22"/>
              </w:rPr>
              <w:t>Unchanged</w:t>
            </w:r>
          </w:p>
        </w:tc>
        <w:tc>
          <w:tcPr>
            <w:tcW w:type="dxa" w:w="1728"/>
          </w:tcPr>
          <w:p>
            <w:r>
              <w:rPr>
                <w:rFonts w:ascii="Calibri" w:hAnsi="Calibri"/>
                <w:sz w:val="22"/>
              </w:rPr>
              <w:t>Unchanged; Q1 repurchases were $2.5B, in-line</w:t>
            </w:r>
          </w:p>
        </w:tc>
      </w:tr>
      <w:tr>
        <w:tc>
          <w:tcPr>
            <w:tcW w:type="dxa" w:w="1728"/>
          </w:tcPr>
          <w:p>
            <w:r>
              <w:rPr>
                <w:rFonts w:ascii="Calibri" w:hAnsi="Calibri"/>
                <w:sz w:val="22"/>
              </w:rPr>
              <w:t>Equity Affiliate Distributions</w:t>
            </w:r>
          </w:p>
        </w:tc>
        <w:tc>
          <w:tcPr>
            <w:tcW w:type="dxa" w:w="1728"/>
          </w:tcPr>
          <w:p>
            <w:r>
              <w:rPr>
                <w:rFonts w:ascii="Calibri" w:hAnsi="Calibri"/>
                <w:sz w:val="22"/>
              </w:rPr>
              <w:t>Prior Q1 level</w:t>
            </w:r>
          </w:p>
        </w:tc>
        <w:tc>
          <w:tcPr>
            <w:tcW w:type="dxa" w:w="1728"/>
          </w:tcPr>
          <w:p>
            <w:r>
              <w:rPr>
                <w:rFonts w:ascii="Calibri" w:hAnsi="Calibri"/>
                <w:sz w:val="22"/>
              </w:rPr>
              <w:t>↑ Raised &gt;$2B above Q1 level; ~70% of FY guide by end of Q2</w:t>
            </w:r>
          </w:p>
        </w:tc>
        <w:tc>
          <w:tcPr>
            <w:tcW w:type="dxa" w:w="1728"/>
          </w:tcPr>
          <w:p>
            <w:r>
              <w:rPr>
                <w:rFonts w:ascii="Calibri" w:hAnsi="Calibri"/>
                <w:sz w:val="22"/>
              </w:rPr>
              <w:t>N/A — not in VA</w:t>
            </w:r>
          </w:p>
        </w:tc>
        <w:tc>
          <w:tcPr>
            <w:tcW w:type="dxa" w:w="1728"/>
          </w:tcPr>
          <w:p>
            <w:r>
              <w:rPr>
                <w:rFonts w:ascii="Calibri" w:hAnsi="Calibri"/>
                <w:sz w:val="22"/>
              </w:rPr>
              <w:t>↑ Raised on Q1 call (May 1); TCO shifted to monthly dividends; first April payment received</w:t>
            </w:r>
          </w:p>
        </w:tc>
      </w:tr>
      <w:tr>
        <w:tc>
          <w:tcPr>
            <w:tcW w:type="dxa" w:w="1728"/>
          </w:tcPr>
          <w:p>
            <w:r>
              <w:rPr>
                <w:rFonts w:ascii="Calibri" w:hAnsi="Calibri"/>
                <w:sz w:val="22"/>
              </w:rPr>
              <w:t>TCO Free Cash Flow (FY2026)</w:t>
            </w:r>
          </w:p>
        </w:tc>
        <w:tc>
          <w:tcPr>
            <w:tcW w:type="dxa" w:w="1728"/>
          </w:tcPr>
          <w:p>
            <w:r>
              <w:rPr>
                <w:rFonts w:ascii="Calibri" w:hAnsi="Calibri"/>
                <w:sz w:val="22"/>
              </w:rPr>
              <w:t>$6B at $70 Brent</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upside at higher Brent (avg ~$96.68 in Q2)</w:t>
            </w:r>
          </w:p>
        </w:tc>
      </w:tr>
      <w:tr>
        <w:tc>
          <w:tcPr>
            <w:tcW w:type="dxa" w:w="1728"/>
          </w:tcPr>
          <w:p>
            <w:r>
              <w:rPr>
                <w:rFonts w:ascii="Calibri" w:hAnsi="Calibri"/>
                <w:sz w:val="22"/>
              </w:rPr>
              <w:t>Q2 Production vs. Q1</w:t>
            </w:r>
          </w:p>
        </w:tc>
        <w:tc>
          <w:tcPr>
            <w:tcW w:type="dxa" w:w="1728"/>
          </w:tcPr>
          <w:p>
            <w:r>
              <w:rPr>
                <w:rFonts w:ascii="Calibri" w:hAnsi="Calibri"/>
                <w:sz w:val="22"/>
              </w:rPr>
              <w:t>Q2 production expected higher than Q1 (3,858 Mboe/d)</w:t>
            </w:r>
          </w:p>
        </w:tc>
        <w:tc>
          <w:tcPr>
            <w:tcW w:type="dxa" w:w="1728"/>
          </w:tcPr>
          <w:p>
            <w:r>
              <w:rPr>
                <w:rFonts w:ascii="Calibri" w:hAnsi="Calibri"/>
                <w:sz w:val="22"/>
              </w:rPr>
              <w:t>—</w:t>
            </w:r>
          </w:p>
        </w:tc>
        <w:tc>
          <w:tcPr>
            <w:tcW w:type="dxa" w:w="1728"/>
          </w:tcPr>
          <w:p>
            <w:r>
              <w:rPr>
                <w:rFonts w:ascii="Calibri" w:hAnsi="Calibri"/>
                <w:sz w:val="22"/>
              </w:rPr>
              <w:t>~4,030 Mboe/d (VA)</w:t>
            </w:r>
          </w:p>
        </w:tc>
        <w:tc>
          <w:tcPr>
            <w:tcW w:type="dxa" w:w="1728"/>
          </w:tcPr>
          <w:p>
            <w:r>
              <w:rPr>
                <w:rFonts w:ascii="Calibri" w:hAnsi="Calibri"/>
                <w:sz w:val="22"/>
              </w:rPr>
              <w:t>Directional guidance only; consensus implies +4.5% QoQ</w:t>
            </w:r>
          </w:p>
        </w:tc>
      </w:tr>
      <w:tr>
        <w:tc>
          <w:tcPr>
            <w:tcW w:type="dxa" w:w="1728"/>
          </w:tcPr>
          <w:p>
            <w:r>
              <w:rPr>
                <w:rFonts w:ascii="Calibri" w:hAnsi="Calibri"/>
                <w:sz w:val="22"/>
              </w:rPr>
              <w:t>Microsoft/Project Kilby Power Deal</w:t>
            </w:r>
          </w:p>
        </w:tc>
        <w:tc>
          <w:tcPr>
            <w:tcW w:type="dxa" w:w="1728"/>
          </w:tcPr>
          <w:p>
            <w:r>
              <w:rPr>
                <w:rFonts w:ascii="Calibri" w:hAnsi="Calibri"/>
                <w:sz w:val="22"/>
              </w:rPr>
              <w:t>Exclusivity agreement; no definitive deal; FID expected later 2026</w:t>
            </w:r>
          </w:p>
        </w:tc>
        <w:tc>
          <w:tcPr>
            <w:tcW w:type="dxa" w:w="1728"/>
          </w:tcPr>
          <w:p>
            <w:r>
              <w:rPr>
                <w:rFonts w:ascii="Calibri" w:hAnsi="Calibri"/>
                <w:sz w:val="22"/>
              </w:rPr>
              <w:t>↑ Definitive 20-year agreement signed June 22, 2026; FID expected by year-end 2026</w:t>
            </w:r>
          </w:p>
        </w:tc>
        <w:tc>
          <w:tcPr>
            <w:tcW w:type="dxa" w:w="1728"/>
          </w:tcPr>
          <w:p>
            <w:r>
              <w:rPr>
                <w:rFonts w:ascii="Calibri" w:hAnsi="Calibri"/>
                <w:sz w:val="22"/>
              </w:rPr>
              <w:t>N/A — new business line</w:t>
            </w:r>
          </w:p>
        </w:tc>
        <w:tc>
          <w:tcPr>
            <w:tcW w:type="dxa" w:w="1728"/>
          </w:tcPr>
          <w:p>
            <w:r>
              <w:rPr>
                <w:rFonts w:ascii="Calibri" w:hAnsi="Calibri"/>
                <w:sz w:val="22"/>
              </w:rPr>
              <w:t>↑ New: 2.67 GW natural gas power project (Project Kilby) at Pecos, TX; first power by 2028; not in prior guidance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Q1 print — Q2 operating EPS consensus is up +15.3% and FY2026 EPS is up +9.5% since May 8 — tracking the oil price surge rather than diverging from it. The gap between current consensus and the $70 Brent guidance base represents pure upside optionality; at ~$96.68 Brent in Q2, every $1/bbl above $70 adds meaningful incremental cash flow.</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8,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$4.90</w:t>
            </w:r>
          </w:p>
        </w:tc>
        <w:tc>
          <w:tcPr>
            <w:tcW w:type="dxa" w:w="1080"/>
          </w:tcPr>
          <w:p>
            <w:r>
              <w:rPr>
                <w:rFonts w:ascii="Calibri" w:hAnsi="Calibri"/>
                <w:sz w:val="22"/>
              </w:rPr>
              <w:t>$5.65</w:t>
            </w:r>
          </w:p>
        </w:tc>
        <w:tc>
          <w:tcPr>
            <w:tcW w:type="dxa" w:w="1080"/>
          </w:tcPr>
          <w:p>
            <w:r>
              <w:rPr>
                <w:rFonts w:ascii="Calibri" w:hAnsi="Calibri"/>
                <w:b/>
                <w:color w:val="30A46C"/>
                <w:sz w:val="22"/>
              </w:rPr>
              <w:t>+15.3%</w:t>
            </w:r>
          </w:p>
        </w:tc>
        <w:tc>
          <w:tcPr>
            <w:tcW w:type="dxa" w:w="1080"/>
          </w:tcPr>
          <w:p>
            <w:r>
              <w:rPr>
                <w:rFonts w:ascii="Calibri" w:hAnsi="Calibri"/>
                <w:sz w:val="22"/>
              </w:rPr>
              <w:t>No specific Q2 EPS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$13.64</w:t>
            </w:r>
          </w:p>
        </w:tc>
        <w:tc>
          <w:tcPr>
            <w:tcW w:type="dxa" w:w="1080"/>
          </w:tcPr>
          <w:p>
            <w:r>
              <w:rPr>
                <w:rFonts w:ascii="Calibri" w:hAnsi="Calibri"/>
                <w:sz w:val="22"/>
              </w:rPr>
              <w:t>$14.93</w:t>
            </w:r>
          </w:p>
        </w:tc>
        <w:tc>
          <w:tcPr>
            <w:tcW w:type="dxa" w:w="1080"/>
          </w:tcPr>
          <w:p>
            <w:r>
              <w:rPr>
                <w:rFonts w:ascii="Calibri" w:hAnsi="Calibri"/>
                <w:b/>
                <w:color w:val="30A46C"/>
                <w:sz w:val="22"/>
              </w:rPr>
              <w:t>+9.5%</w:t>
            </w:r>
          </w:p>
        </w:tc>
        <w:tc>
          <w:tcPr>
            <w:tcW w:type="dxa" w:w="1080"/>
          </w:tcPr>
          <w:p>
            <w:r>
              <w:rPr>
                <w:rFonts w:ascii="Calibri" w:hAnsi="Calibri"/>
                <w:sz w:val="22"/>
              </w:rPr>
              <w:t>&gt;10% annual avg EPS growth at $70 Brent (2030 target)</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Well above $70 Brent base</w:t>
            </w:r>
          </w:p>
        </w:tc>
      </w:tr>
      <w:tr>
        <w:tc>
          <w:tcPr>
            <w:tcW w:type="dxa" w:w="1080"/>
          </w:tcPr>
          <w:p>
            <w:r>
              <w:rPr>
                <w:rFonts w:ascii="Calibri" w:hAnsi="Calibri"/>
                <w:sz w:val="22"/>
              </w:rPr>
              <w:t>Worldwide Production — Q2 2026 (Mboe/d)</w:t>
            </w:r>
          </w:p>
        </w:tc>
        <w:tc>
          <w:tcPr>
            <w:tcW w:type="dxa" w:w="1080"/>
          </w:tcPr>
          <w:p>
            <w:r>
              <w:rPr>
                <w:rFonts w:ascii="Calibri" w:hAnsi="Calibri"/>
                <w:sz w:val="22"/>
              </w:rPr>
              <w:t>4,019</w:t>
            </w:r>
          </w:p>
        </w:tc>
        <w:tc>
          <w:tcPr>
            <w:tcW w:type="dxa" w:w="1080"/>
          </w:tcPr>
          <w:p>
            <w:r>
              <w:rPr>
                <w:rFonts w:ascii="Calibri" w:hAnsi="Calibri"/>
                <w:sz w:val="22"/>
              </w:rPr>
              <w:t>4,030</w:t>
            </w:r>
          </w:p>
        </w:tc>
        <w:tc>
          <w:tcPr>
            <w:tcW w:type="dxa" w:w="1080"/>
          </w:tcPr>
          <w:p>
            <w:r>
              <w:rPr>
                <w:rFonts w:ascii="Calibri" w:hAnsi="Calibri"/>
                <w:sz w:val="22"/>
              </w:rPr>
              <w:t>+0.3%</w:t>
            </w:r>
          </w:p>
        </w:tc>
        <w:tc>
          <w:tcPr>
            <w:tcW w:type="dxa" w:w="1080"/>
          </w:tcPr>
          <w:p>
            <w:r>
              <w:rPr>
                <w:rFonts w:ascii="Calibri" w:hAnsi="Calibri"/>
                <w:sz w:val="22"/>
              </w:rPr>
              <w:t>Higher than Q1 (3,858 Mboe/d)</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~+4.5% above Q1 floor</w:t>
            </w:r>
          </w:p>
        </w:tc>
      </w:tr>
      <w:tr>
        <w:tc>
          <w:tcPr>
            <w:tcW w:type="dxa" w:w="1080"/>
          </w:tcPr>
          <w:p>
            <w:r>
              <w:rPr>
                <w:rFonts w:ascii="Calibri" w:hAnsi="Calibri"/>
                <w:sz w:val="22"/>
              </w:rPr>
              <w:t>Worldwide Production — FY2026 (Mboe/d)</w:t>
            </w:r>
          </w:p>
        </w:tc>
        <w:tc>
          <w:tcPr>
            <w:tcW w:type="dxa" w:w="1080"/>
          </w:tcPr>
          <w:p>
            <w:r>
              <w:rPr>
                <w:rFonts w:ascii="Calibri" w:hAnsi="Calibri"/>
                <w:sz w:val="22"/>
              </w:rPr>
              <w:t>4,008</w:t>
            </w:r>
          </w:p>
        </w:tc>
        <w:tc>
          <w:tcPr>
            <w:tcW w:type="dxa" w:w="1080"/>
          </w:tcPr>
          <w:p>
            <w:r>
              <w:rPr>
                <w:rFonts w:ascii="Calibri" w:hAnsi="Calibri"/>
                <w:sz w:val="22"/>
              </w:rPr>
              <w:t>4,025</w:t>
            </w:r>
          </w:p>
        </w:tc>
        <w:tc>
          <w:tcPr>
            <w:tcW w:type="dxa" w:w="1080"/>
          </w:tcPr>
          <w:p>
            <w:r>
              <w:rPr>
                <w:rFonts w:ascii="Calibri" w:hAnsi="Calibri"/>
                <w:sz w:val="22"/>
              </w:rPr>
              <w:t>+0.4%</w:t>
            </w:r>
          </w:p>
        </w:tc>
        <w:tc>
          <w:tcPr>
            <w:tcW w:type="dxa" w:w="1080"/>
          </w:tcPr>
          <w:p>
            <w:r>
              <w:rPr>
                <w:rFonts w:ascii="Calibri" w:hAnsi="Calibri"/>
                <w:sz w:val="22"/>
              </w:rPr>
              <w:t>+7% to +10% YoY (vs. ~3,750 Mboe/d 2025 avg)</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~+7.3% YoY — within guidance range</w:t>
            </w:r>
          </w:p>
        </w:tc>
      </w:tr>
      <w:tr>
        <w:tc>
          <w:tcPr>
            <w:tcW w:type="dxa" w:w="1080"/>
          </w:tcPr>
          <w:p>
            <w:r>
              <w:rPr>
                <w:rFonts w:ascii="Calibri" w:hAnsi="Calibri"/>
                <w:sz w:val="22"/>
              </w:rPr>
              <w:t>Free Cash Flow — Q2 2026 ($B)</w:t>
            </w:r>
          </w:p>
        </w:tc>
        <w:tc>
          <w:tcPr>
            <w:tcW w:type="dxa" w:w="1080"/>
          </w:tcPr>
          <w:p>
            <w:r>
              <w:rPr>
                <w:rFonts w:ascii="Calibri" w:hAnsi="Calibri"/>
                <w:sz w:val="22"/>
              </w:rPr>
              <w:t>$12.6B</w:t>
            </w:r>
          </w:p>
        </w:tc>
        <w:tc>
          <w:tcPr>
            <w:tcW w:type="dxa" w:w="1080"/>
          </w:tcPr>
          <w:p>
            <w:r>
              <w:rPr>
                <w:rFonts w:ascii="Calibri" w:hAnsi="Calibri"/>
                <w:sz w:val="22"/>
              </w:rPr>
              <w:t>$14.8B</w:t>
            </w:r>
          </w:p>
        </w:tc>
        <w:tc>
          <w:tcPr>
            <w:tcW w:type="dxa" w:w="1080"/>
          </w:tcPr>
          <w:p>
            <w:r>
              <w:rPr>
                <w:rFonts w:ascii="Calibri" w:hAnsi="Calibri"/>
                <w:b/>
                <w:color w:val="30A46C"/>
                <w:sz w:val="22"/>
              </w:rPr>
              <w:t>+17.5%</w:t>
            </w:r>
          </w:p>
        </w:tc>
        <w:tc>
          <w:tcPr>
            <w:tcW w:type="dxa" w:w="1080"/>
          </w:tcPr>
          <w:p>
            <w:r>
              <w:rPr>
                <w:rFonts w:ascii="Calibri" w:hAnsi="Calibri"/>
                <w:sz w:val="22"/>
              </w:rPr>
              <w:t>~$1B timing unwind from Q1; TCO $6B FY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 (no quarterly FCF guidance)</w:t>
            </w:r>
          </w:p>
        </w:tc>
      </w:tr>
      <w:tr>
        <w:tc>
          <w:tcPr>
            <w:tcW w:type="dxa" w:w="1080"/>
          </w:tcPr>
          <w:p>
            <w:r>
              <w:rPr>
                <w:rFonts w:ascii="Calibri" w:hAnsi="Calibri"/>
                <w:sz w:val="22"/>
              </w:rPr>
              <w:t>Free Cash Flow — FY2026 ($B)</w:t>
            </w:r>
          </w:p>
        </w:tc>
        <w:tc>
          <w:tcPr>
            <w:tcW w:type="dxa" w:w="1080"/>
          </w:tcPr>
          <w:p>
            <w:r>
              <w:rPr>
                <w:rFonts w:ascii="Calibri" w:hAnsi="Calibri"/>
                <w:sz w:val="22"/>
              </w:rPr>
              <w:t>$32.5B</w:t>
            </w:r>
          </w:p>
        </w:tc>
        <w:tc>
          <w:tcPr>
            <w:tcW w:type="dxa" w:w="1080"/>
          </w:tcPr>
          <w:p>
            <w:r>
              <w:rPr>
                <w:rFonts w:ascii="Calibri" w:hAnsi="Calibri"/>
                <w:sz w:val="22"/>
              </w:rPr>
              <w:t>$34.2B</w:t>
            </w:r>
          </w:p>
        </w:tc>
        <w:tc>
          <w:tcPr>
            <w:tcW w:type="dxa" w:w="1080"/>
          </w:tcPr>
          <w:p>
            <w:r>
              <w:rPr>
                <w:rFonts w:ascii="Calibri" w:hAnsi="Calibri"/>
                <w:b/>
                <w:color w:val="30A46C"/>
                <w:sz w:val="22"/>
              </w:rPr>
              <w:t>+5.2%</w:t>
            </w:r>
          </w:p>
        </w:tc>
        <w:tc>
          <w:tcPr>
            <w:tcW w:type="dxa" w:w="1080"/>
          </w:tcPr>
          <w:p>
            <w:r>
              <w:rPr>
                <w:rFonts w:ascii="Calibri" w:hAnsi="Calibri"/>
                <w:sz w:val="22"/>
              </w:rPr>
              <w:t>TCO $6B; overall FY FCF at $70 Brent</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Significant upside at ~$96 Brent vs. $70 base</w:t>
            </w:r>
          </w:p>
        </w:tc>
      </w:tr>
      <w:tr>
        <w:tc>
          <w:tcPr>
            <w:tcW w:type="dxa" w:w="1080"/>
          </w:tcPr>
          <w:p>
            <w:r>
              <w:rPr>
                <w:rFonts w:ascii="Calibri" w:hAnsi="Calibri"/>
                <w:sz w:val="22"/>
              </w:rPr>
              <w:t>Capital Expenditure — FY2026 ($B)</w:t>
            </w:r>
          </w:p>
        </w:tc>
        <w:tc>
          <w:tcPr>
            <w:tcW w:type="dxa" w:w="1080"/>
          </w:tcPr>
          <w:p>
            <w:r>
              <w:rPr>
                <w:rFonts w:ascii="Calibri" w:hAnsi="Calibri"/>
                <w:sz w:val="22"/>
              </w:rPr>
              <w:t>$17.7B</w:t>
            </w:r>
          </w:p>
        </w:tc>
        <w:tc>
          <w:tcPr>
            <w:tcW w:type="dxa" w:w="1080"/>
          </w:tcPr>
          <w:p>
            <w:r>
              <w:rPr>
                <w:rFonts w:ascii="Calibri" w:hAnsi="Calibri"/>
                <w:sz w:val="22"/>
              </w:rPr>
              <w:t>$18.1B</w:t>
            </w:r>
          </w:p>
        </w:tc>
        <w:tc>
          <w:tcPr>
            <w:tcW w:type="dxa" w:w="1080"/>
          </w:tcPr>
          <w:p>
            <w:r>
              <w:rPr>
                <w:rFonts w:ascii="Calibri" w:hAnsi="Calibri"/>
                <w:sz w:val="22"/>
              </w:rPr>
              <w:t>+2.3%</w:t>
            </w:r>
          </w:p>
        </w:tc>
        <w:tc>
          <w:tcPr>
            <w:tcW w:type="dxa" w:w="1080"/>
          </w:tcPr>
          <w:p>
            <w:r>
              <w:rPr>
                <w:rFonts w:ascii="Calibri" w:hAnsi="Calibri"/>
                <w:sz w:val="22"/>
              </w:rPr>
              <w:t>$18B–$19B</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~−1% below midpoint — within range</w:t>
            </w:r>
          </w:p>
        </w:tc>
      </w:tr>
    </w:tbl>
    <w:p>
      <w:r>
        <w:rPr>
          <w:rFonts w:ascii="Calibri" w:hAnsi="Calibri"/>
          <w:i/>
          <w:color w:val="525866"/>
          <w:sz w:val="22"/>
        </w:rPr>
        <w:t>Source: Visible Alpha Consensus and Actuals Data; CVX Q1 2026 Earnings Call Transcript (May 1, 2026). Baseline date of May 8, 2026 = 5 trading days post Q1 print.</w:t>
      </w:r>
    </w:p>
    <w:p>
      <w:r>
        <w:rPr>
          <w:rFonts w:ascii="Calibri" w:hAnsi="Calibri"/>
          <w:b/>
          <w:color w:val="525866"/>
          <w:sz w:val="22"/>
        </w:rPr>
        <w:t xml:space="preserve">Commentary: </w:t>
      </w:r>
      <w:r>
        <w:rPr>
          <w:rFonts w:ascii="Calibri" w:hAnsi="Calibri"/>
          <w:color w:val="525866"/>
          <w:sz w:val="22"/>
        </w:rPr>
        <w:t>The estimate revision story is straightforward — EPS and FCF estimates have been revised sharply higher since the Q1 print, entirely driven by the oil price surge from the U.S.-Iran war. Production estimates are essentially unchanged, reflecting management's consistent guidance. The key risk is not that estimates are too high relative to guidance, but that a ceasefire or Hormuz reopening could cause a sharp reversal in commodity prices and force a downward revision cycle heading into Q3.</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CVX's performance since the May 1 earnings date has been driven almost entirely by oil price sentiment rather than estimate revisions or multiple expansion — the stock fell ~13% to $165.76 by June 30 as ceasefire hopes compressed the geopolitical risk premium, then rallied ~16% back to $192+ as hostilities resumed. The 1-month EV/EBITDA multiple expanded +12% while the 3-month multiple is essentially flat, confirming that the stock is trading the commodity, not the business.</w:t>
      </w:r>
    </w:p>
    <w:p>
      <w:r>
        <w:rPr>
          <w:rFonts w:ascii="Calibri" w:hAnsi="Calibri"/>
          <w:i/>
          <w:color w:val="525866"/>
          <w:sz w:val="22"/>
        </w:rPr>
        <w:t>Benchmark: XLE (Energy Select Sector SPDR ETF) — appropriate for CVX's integrated oil &amp; gas sub-sector. S&amp;P 500 (SPY) used as broad market reference.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Period</w:t>
            </w:r>
          </w:p>
        </w:tc>
        <w:tc>
          <w:tcPr>
            <w:tcW w:type="dxa" w:w="1440"/>
            <w:shd w:val="clear" w:color="auto" w:fill="3B4259"/>
          </w:tcPr>
          <w:p>
            <w:r>
              <w:rPr>
                <w:rFonts w:ascii="Calibri" w:hAnsi="Calibri"/>
                <w:b/>
                <w:color w:val="FFFFFF"/>
                <w:sz w:val="22"/>
              </w:rPr>
              <w:t>CVX Return</w:t>
            </w:r>
          </w:p>
        </w:tc>
        <w:tc>
          <w:tcPr>
            <w:tcW w:type="dxa" w:w="1440"/>
            <w:shd w:val="clear" w:color="auto" w:fill="3B4259"/>
          </w:tcPr>
          <w:p>
            <w:r>
              <w:rPr>
                <w:rFonts w:ascii="Calibri" w:hAnsi="Calibri"/>
                <w:b/>
                <w:color w:val="FFFFFF"/>
                <w:sz w:val="22"/>
              </w:rPr>
              <w:t>XLE Return</w:t>
            </w:r>
          </w:p>
        </w:tc>
        <w:tc>
          <w:tcPr>
            <w:tcW w:type="dxa" w:w="1440"/>
            <w:shd w:val="clear" w:color="auto" w:fill="3B4259"/>
          </w:tcPr>
          <w:p>
            <w:r>
              <w:rPr>
                <w:rFonts w:ascii="Calibri" w:hAnsi="Calibri"/>
                <w:b/>
                <w:color w:val="FFFFFF"/>
                <w:sz w:val="22"/>
              </w:rPr>
              <w:t>SPY Return</w:t>
            </w:r>
          </w:p>
        </w:tc>
        <w:tc>
          <w:tcPr>
            <w:tcW w:type="dxa" w:w="1440"/>
            <w:shd w:val="clear" w:color="auto" w:fill="3B4259"/>
          </w:tcPr>
          <w:p>
            <w:r>
              <w:rPr>
                <w:rFonts w:ascii="Calibri" w:hAnsi="Calibri"/>
                <w:b/>
                <w:color w:val="FFFFFF"/>
                <w:sz w:val="22"/>
              </w:rPr>
              <w:t>CVX vs. XLE</w:t>
            </w:r>
          </w:p>
        </w:tc>
        <w:tc>
          <w:tcPr>
            <w:tcW w:type="dxa" w:w="1440"/>
            <w:shd w:val="clear" w:color="auto" w:fill="3B4259"/>
          </w:tcPr>
          <w:p>
            <w:r>
              <w:rPr>
                <w:rFonts w:ascii="Calibri" w:hAnsi="Calibri"/>
                <w:b/>
                <w:color w:val="FFFFFF"/>
                <w:sz w:val="22"/>
              </w:rPr>
              <w:t>CVX vs. SPY</w:t>
            </w:r>
          </w:p>
        </w:tc>
      </w:tr>
      <w:tr>
        <w:tc>
          <w:tcPr>
            <w:tcW w:type="dxa" w:w="1440"/>
          </w:tcPr>
          <w:p>
            <w:r>
              <w:rPr>
                <w:rFonts w:ascii="Calibri" w:hAnsi="Calibri"/>
                <w:sz w:val="22"/>
              </w:rPr>
              <w:t>Since May 1 (earnings day)</w:t>
            </w:r>
          </w:p>
        </w:tc>
        <w:tc>
          <w:tcPr>
            <w:tcW w:type="dxa" w:w="1440"/>
          </w:tcPr>
          <w:p>
            <w:r>
              <w:rPr>
                <w:rFonts w:ascii="Calibri" w:hAnsi="Calibri"/>
                <w:sz w:val="22"/>
              </w:rPr>
              <w:t>+0.9%</w:t>
            </w:r>
          </w:p>
        </w:tc>
        <w:tc>
          <w:tcPr>
            <w:tcW w:type="dxa" w:w="1440"/>
          </w:tcPr>
          <w:p>
            <w:r>
              <w:rPr>
                <w:rFonts w:ascii="Calibri" w:hAnsi="Calibri"/>
                <w:sz w:val="22"/>
              </w:rPr>
              <w:t>+0.2%</w:t>
            </w:r>
          </w:p>
        </w:tc>
        <w:tc>
          <w:tcPr>
            <w:tcW w:type="dxa" w:w="1440"/>
          </w:tcPr>
          <w:p>
            <w:r>
              <w:rPr>
                <w:rFonts w:ascii="Calibri" w:hAnsi="Calibri"/>
                <w:sz w:val="22"/>
              </w:rPr>
              <w:t>+2.9%</w:t>
            </w:r>
          </w:p>
        </w:tc>
        <w:tc>
          <w:tcPr>
            <w:tcW w:type="dxa" w:w="1440"/>
          </w:tcPr>
          <w:p>
            <w:r>
              <w:rPr>
                <w:rFonts w:ascii="Calibri" w:hAnsi="Calibri"/>
                <w:sz w:val="22"/>
              </w:rPr>
              <w:t>+0.7pp</w:t>
            </w:r>
          </w:p>
        </w:tc>
        <w:tc>
          <w:tcPr>
            <w:tcW w:type="dxa" w:w="1440"/>
          </w:tcPr>
          <w:p>
            <w:r>
              <w:rPr>
                <w:rFonts w:ascii="Calibri" w:hAnsi="Calibri"/>
                <w:sz w:val="22"/>
              </w:rPr>
              <w:t>-2.0pp</w:t>
            </w:r>
          </w:p>
        </w:tc>
      </w:tr>
      <w:tr>
        <w:tc>
          <w:tcPr>
            <w:tcW w:type="dxa" w:w="1440"/>
          </w:tcPr>
          <w:p>
            <w:r>
              <w:rPr>
                <w:rFonts w:ascii="Calibri" w:hAnsi="Calibri"/>
                <w:sz w:val="22"/>
              </w:rPr>
              <w:t>Peak (May 19: $197.25)</w:t>
            </w:r>
          </w:p>
        </w:tc>
        <w:tc>
          <w:tcPr>
            <w:tcW w:type="dxa" w:w="1440"/>
          </w:tcPr>
          <w:p>
            <w:r>
              <w:rPr>
                <w:rFonts w:ascii="Calibri" w:hAnsi="Calibri"/>
                <w:sz w:val="22"/>
              </w:rPr>
              <w:t>+3.5%</w:t>
            </w:r>
          </w:p>
        </w:tc>
        <w:tc>
          <w:tcPr>
            <w:tcW w:type="dxa" w:w="1440"/>
          </w:tcPr>
          <w:p>
            <w:r>
              <w:rPr>
                <w:rFonts w:ascii="Calibri" w:hAnsi="Calibri"/>
                <w:sz w:val="22"/>
              </w:rPr>
              <w:t>+4.1%</w:t>
            </w:r>
          </w:p>
        </w:tc>
        <w:tc>
          <w:tcPr>
            <w:tcW w:type="dxa" w:w="1440"/>
          </w:tcPr>
          <w:p>
            <w:r>
              <w:rPr>
                <w:rFonts w:ascii="Calibri" w:hAnsi="Calibri"/>
                <w:sz w:val="22"/>
              </w:rPr>
              <w:t>+1.8%</w:t>
            </w:r>
          </w:p>
        </w:tc>
        <w:tc>
          <w:tcPr>
            <w:tcW w:type="dxa" w:w="1440"/>
          </w:tcPr>
          <w:p>
            <w:r>
              <w:rPr>
                <w:rFonts w:ascii="Calibri" w:hAnsi="Calibri"/>
                <w:sz w:val="22"/>
              </w:rPr>
              <w:t>-0.6pp</w:t>
            </w:r>
          </w:p>
        </w:tc>
        <w:tc>
          <w:tcPr>
            <w:tcW w:type="dxa" w:w="1440"/>
          </w:tcPr>
          <w:p>
            <w:r>
              <w:rPr>
                <w:rFonts w:ascii="Calibri" w:hAnsi="Calibri"/>
                <w:sz w:val="22"/>
              </w:rPr>
              <w:t>+1.7pp</w:t>
            </w:r>
          </w:p>
        </w:tc>
      </w:tr>
      <w:tr>
        <w:tc>
          <w:tcPr>
            <w:tcW w:type="dxa" w:w="1440"/>
          </w:tcPr>
          <w:p>
            <w:r>
              <w:rPr>
                <w:rFonts w:ascii="Calibri" w:hAnsi="Calibri"/>
                <w:sz w:val="22"/>
              </w:rPr>
              <w:t>Trough (Jun 30: $165.76)</w:t>
            </w:r>
          </w:p>
        </w:tc>
        <w:tc>
          <w:tcPr>
            <w:tcW w:type="dxa" w:w="1440"/>
          </w:tcPr>
          <w:p>
            <w:r>
              <w:rPr>
                <w:rFonts w:ascii="Calibri" w:hAnsi="Calibri"/>
                <w:sz w:val="22"/>
              </w:rPr>
              <w:t>-13.1%</w:t>
            </w:r>
          </w:p>
        </w:tc>
        <w:tc>
          <w:tcPr>
            <w:tcW w:type="dxa" w:w="1440"/>
          </w:tcPr>
          <w:p>
            <w:r>
              <w:rPr>
                <w:rFonts w:ascii="Calibri" w:hAnsi="Calibri"/>
                <w:sz w:val="22"/>
              </w:rPr>
              <w:t>-9.7%</w:t>
            </w:r>
          </w:p>
        </w:tc>
        <w:tc>
          <w:tcPr>
            <w:tcW w:type="dxa" w:w="1440"/>
          </w:tcPr>
          <w:p>
            <w:r>
              <w:rPr>
                <w:rFonts w:ascii="Calibri" w:hAnsi="Calibri"/>
                <w:sz w:val="22"/>
              </w:rPr>
              <w:t>+3.6%</w:t>
            </w:r>
          </w:p>
        </w:tc>
        <w:tc>
          <w:tcPr>
            <w:tcW w:type="dxa" w:w="1440"/>
          </w:tcPr>
          <w:p>
            <w:r>
              <w:rPr>
                <w:rFonts w:ascii="Calibri" w:hAnsi="Calibri"/>
                <w:sz w:val="22"/>
              </w:rPr>
              <w:t>-3.4pp</w:t>
            </w:r>
          </w:p>
        </w:tc>
        <w:tc>
          <w:tcPr>
            <w:tcW w:type="dxa" w:w="1440"/>
          </w:tcPr>
          <w:p>
            <w:r>
              <w:rPr>
                <w:rFonts w:ascii="Calibri" w:hAnsi="Calibri"/>
                <w:sz w:val="22"/>
              </w:rPr>
              <w:t>-16.7pp</w:t>
            </w:r>
          </w:p>
        </w:tc>
      </w:tr>
      <w:tr>
        <w:tc>
          <w:tcPr>
            <w:tcW w:type="dxa" w:w="1440"/>
          </w:tcPr>
          <w:p>
            <w:r>
              <w:rPr>
                <w:rFonts w:ascii="Calibri" w:hAnsi="Calibri"/>
                <w:sz w:val="22"/>
              </w:rPr>
              <w:t>Jul 31 close ($192.31)</w:t>
            </w:r>
          </w:p>
        </w:tc>
        <w:tc>
          <w:tcPr>
            <w:tcW w:type="dxa" w:w="1440"/>
          </w:tcPr>
          <w:p>
            <w:r>
              <w:rPr>
                <w:rFonts w:ascii="Calibri" w:hAnsi="Calibri"/>
                <w:sz w:val="22"/>
              </w:rPr>
              <w:t>+0.9%</w:t>
            </w:r>
          </w:p>
        </w:tc>
        <w:tc>
          <w:tcPr>
            <w:tcW w:type="dxa" w:w="1440"/>
          </w:tcPr>
          <w:p>
            <w:r>
              <w:rPr>
                <w:rFonts w:ascii="Calibri" w:hAnsi="Calibri"/>
                <w:sz w:val="22"/>
              </w:rPr>
              <w:t>+0.2%</w:t>
            </w:r>
          </w:p>
        </w:tc>
        <w:tc>
          <w:tcPr>
            <w:tcW w:type="dxa" w:w="1440"/>
          </w:tcPr>
          <w:p>
            <w:r>
              <w:rPr>
                <w:rFonts w:ascii="Calibri" w:hAnsi="Calibri"/>
                <w:sz w:val="22"/>
              </w:rPr>
              <w:t>+2.9%</w:t>
            </w:r>
          </w:p>
        </w:tc>
        <w:tc>
          <w:tcPr>
            <w:tcW w:type="dxa" w:w="1440"/>
          </w:tcPr>
          <w:p>
            <w:r>
              <w:rPr>
                <w:rFonts w:ascii="Calibri" w:hAnsi="Calibri"/>
                <w:sz w:val="22"/>
              </w:rPr>
              <w:t>+0.7pp</w:t>
            </w:r>
          </w:p>
        </w:tc>
        <w:tc>
          <w:tcPr>
            <w:tcW w:type="dxa" w:w="1440"/>
          </w:tcPr>
          <w:p>
            <w:r>
              <w:rPr>
                <w:rFonts w:ascii="Calibri" w:hAnsi="Calibri"/>
                <w:sz w:val="22"/>
              </w:rPr>
              <w:t>-2.0pp</w:t>
            </w:r>
          </w:p>
        </w:tc>
      </w:tr>
    </w:tbl>
    <w:p>
      <w:r>
        <w:rPr>
          <w:rFonts w:ascii="Calibri" w:hAnsi="Calibri"/>
          <w:i/>
          <w:color w:val="525866"/>
          <w:sz w:val="22"/>
        </w:rPr>
        <w:t>Source: Stock Price Data (Yahoo Finance). Returns calculated close-to-close from May 1, 2026 base.</w:t>
      </w:r>
    </w:p>
    <w:p>
      <w:r>
        <w:rPr>
          <w:rFonts w:ascii="Calibri" w:hAnsi="Calibri"/>
          <w:b/>
          <w:color w:val="525866"/>
          <w:sz w:val="22"/>
        </w:rPr>
        <w:t>Key Events Since May 1, 2026:</w:t>
      </w:r>
    </w:p>
    <w:p>
      <w:pPr>
        <w:pStyle w:val="ListBullet"/>
        <w:ind w:left="360" w:hanging="360"/>
      </w:pPr>
      <w:r>
        <w:rPr>
          <w:rFonts w:ascii="Calibri" w:hAnsi="Calibri"/>
          <w:b/>
          <w:color w:val="525866"/>
          <w:sz w:val="22"/>
        </w:rPr>
        <w:t>May 1:</w:t>
      </w:r>
      <w:r>
        <w:rPr>
          <w:rFonts w:ascii="Calibri" w:hAnsi="Calibri"/>
          <w:color w:val="525866"/>
          <w:sz w:val="22"/>
        </w:rPr>
        <w:t xml:space="preserve"> Q1 2026 earnings call — large adjusted EPS beat; all 2026 guidance reaffirmed; affiliate distribution guidance raised &gt;$2B; stock declined modestly on negative reported FCF.</w:t>
      </w:r>
    </w:p>
    <w:p>
      <w:pPr>
        <w:pStyle w:val="ListBullet"/>
        <w:ind w:left="360" w:hanging="360"/>
      </w:pPr>
      <w:r>
        <w:rPr>
          <w:rFonts w:ascii="Calibri" w:hAnsi="Calibri"/>
          <w:b/>
          <w:color w:val="525866"/>
          <w:sz w:val="22"/>
        </w:rPr>
        <w:t>May 11:</w:t>
      </w:r>
      <w:r>
        <w:rPr>
          <w:rFonts w:ascii="Calibri" w:hAnsi="Calibri"/>
          <w:color w:val="525866"/>
          <w:sz w:val="22"/>
        </w:rPr>
        <w:t xml:space="preserve"> Syria selects offshore block with CVX and Qatar's UCC Holding for first deep-water oil &amp; gas project.</w:t>
      </w:r>
    </w:p>
    <w:p>
      <w:pPr>
        <w:pStyle w:val="ListBullet"/>
        <w:ind w:left="360" w:hanging="360"/>
      </w:pPr>
      <w:r>
        <w:rPr>
          <w:rFonts w:ascii="Calibri" w:hAnsi="Calibri"/>
          <w:b/>
          <w:color w:val="525866"/>
          <w:sz w:val="22"/>
        </w:rPr>
        <w:t>Jun 15:</w:t>
      </w:r>
      <w:r>
        <w:rPr>
          <w:rFonts w:ascii="Calibri" w:hAnsi="Calibri"/>
          <w:color w:val="525866"/>
          <w:sz w:val="22"/>
        </w:rPr>
        <w:t xml:space="preserve"> US-Iran peace deal reports — CVX and energy stocks fell sharply as geopolitical risk premium compressed.</w:t>
      </w:r>
    </w:p>
    <w:p>
      <w:pPr>
        <w:pStyle w:val="ListBullet"/>
        <w:ind w:left="360" w:hanging="360"/>
      </w:pPr>
      <w:r>
        <w:rPr>
          <w:rFonts w:ascii="Calibri" w:hAnsi="Calibri"/>
          <w:b/>
          <w:color w:val="525866"/>
          <w:sz w:val="22"/>
        </w:rPr>
        <w:t>Jun 22:</w:t>
      </w:r>
      <w:r>
        <w:rPr>
          <w:rFonts w:ascii="Calibri" w:hAnsi="Calibri"/>
          <w:color w:val="525866"/>
          <w:sz w:val="22"/>
        </w:rPr>
        <w:t xml:space="preserve"> Microsoft/Project Kilby deal signed — 20-year, 2.67 GW natural gas power agreement; CVX rose on the news.</w:t>
      </w:r>
    </w:p>
    <w:p>
      <w:pPr>
        <w:pStyle w:val="ListBullet"/>
        <w:ind w:left="360" w:hanging="360"/>
      </w:pPr>
      <w:r>
        <w:rPr>
          <w:rFonts w:ascii="Calibri" w:hAnsi="Calibri"/>
          <w:b/>
          <w:color w:val="525866"/>
          <w:sz w:val="22"/>
        </w:rPr>
        <w:t>Jul 7:</w:t>
      </w:r>
      <w:r>
        <w:rPr>
          <w:rFonts w:ascii="Calibri" w:hAnsi="Calibri"/>
          <w:color w:val="525866"/>
          <w:sz w:val="22"/>
        </w:rPr>
        <w:t xml:space="preserve"> XOM pre-announced $3.5–3.9B upstream earnings boost from Q2 oil prices; Shell raised Q2 integrated gas guidance; energy stocks rallied.</w:t>
      </w:r>
    </w:p>
    <w:p>
      <w:pPr>
        <w:pStyle w:val="ListBullet"/>
        <w:ind w:left="360" w:hanging="360"/>
      </w:pPr>
      <w:r>
        <w:rPr>
          <w:rFonts w:ascii="Calibri" w:hAnsi="Calibri"/>
          <w:b/>
          <w:color w:val="525866"/>
          <w:sz w:val="22"/>
        </w:rPr>
        <w:t>Jul 8:</w:t>
      </w:r>
      <w:r>
        <w:rPr>
          <w:rFonts w:ascii="Calibri" w:hAnsi="Calibri"/>
          <w:color w:val="525866"/>
          <w:sz w:val="22"/>
        </w:rPr>
        <w:t xml:space="preserve"> CVX licenses chemical surfactant technology to ZL Chemicals to boost shale oil output by up to 20%.</w:t>
      </w:r>
    </w:p>
    <w:p>
      <w:pPr>
        <w:pStyle w:val="ListBullet"/>
        <w:ind w:left="360" w:hanging="360"/>
      </w:pPr>
      <w:r>
        <w:rPr>
          <w:rFonts w:ascii="Calibri" w:hAnsi="Calibri"/>
          <w:b/>
          <w:color w:val="525866"/>
          <w:sz w:val="22"/>
        </w:rPr>
        <w:t>Jul 16–17:</w:t>
      </w:r>
      <w:r>
        <w:rPr>
          <w:rFonts w:ascii="Calibri" w:hAnsi="Calibri"/>
          <w:color w:val="525866"/>
          <w:sz w:val="22"/>
        </w:rPr>
        <w:t xml:space="preserve"> CVX signs preliminary deals to invest in two Iraqi oil fields; joins consortium exploring Iraq-Syria pipeline bypassing Strait of Hormuz.</w:t>
      </w:r>
    </w:p>
    <w:p>
      <w:pPr>
        <w:pStyle w:val="ListBullet"/>
        <w:ind w:left="360" w:hanging="360"/>
      </w:pPr>
      <w:r>
        <w:rPr>
          <w:rFonts w:ascii="Calibri" w:hAnsi="Calibri"/>
          <w:b/>
          <w:color w:val="525866"/>
          <w:sz w:val="22"/>
        </w:rPr>
        <w:t>Jul 21:</w:t>
      </w:r>
      <w:r>
        <w:rPr>
          <w:rFonts w:ascii="Calibri" w:hAnsi="Calibri"/>
          <w:color w:val="525866"/>
          <w:sz w:val="22"/>
        </w:rPr>
        <w:t xml:space="preserve"> Brent crosses $100/bbl for first time since late May after Houthi strikes on Saudi tankers in Red Sea.</w:t>
      </w:r>
    </w:p>
    <w:p>
      <w:pPr>
        <w:pStyle w:val="ListBullet"/>
        <w:ind w:left="360" w:hanging="360"/>
      </w:pPr>
      <w:r>
        <w:rPr>
          <w:rFonts w:ascii="Calibri" w:hAnsi="Calibri"/>
          <w:b/>
          <w:color w:val="525866"/>
          <w:sz w:val="22"/>
        </w:rPr>
        <w:t>Jul 27:</w:t>
      </w:r>
      <w:r>
        <w:rPr>
          <w:rFonts w:ascii="Calibri" w:hAnsi="Calibri"/>
          <w:color w:val="525866"/>
          <w:sz w:val="22"/>
        </w:rPr>
        <w:t xml:space="preserve"> Trump pauses Iran strikes — CVX fell ~2.5% alongside oil prices on ceasefire hopes.</w:t>
      </w:r>
    </w:p>
    <w:p>
      <w:pPr>
        <w:pStyle w:val="ListBullet"/>
        <w:ind w:left="360" w:hanging="360"/>
      </w:pPr>
      <w:r>
        <w:rPr>
          <w:rFonts w:ascii="Calibri" w:hAnsi="Calibri"/>
          <w:b/>
          <w:color w:val="525866"/>
          <w:sz w:val="22"/>
        </w:rPr>
        <w:t>Jul 29:</w:t>
      </w:r>
      <w:r>
        <w:rPr>
          <w:rFonts w:ascii="Calibri" w:hAnsi="Calibri"/>
          <w:color w:val="525866"/>
          <w:sz w:val="22"/>
        </w:rPr>
        <w:t xml:space="preserve"> US resumes Iran strikes; CVX rose +1.4% in premarket as Hormuz reopening hopes faded.</w:t>
      </w:r>
    </w:p>
    <w:p>
      <w:pPr>
        <w:pStyle w:val="ListBullet"/>
        <w:ind w:left="360" w:hanging="360"/>
      </w:pPr>
      <w:r>
        <w:rPr>
          <w:rFonts w:ascii="Calibri" w:hAnsi="Calibri"/>
          <w:b/>
          <w:color w:val="525866"/>
          <w:sz w:val="22"/>
        </w:rPr>
        <w:t>Jul 30:</w:t>
      </w:r>
      <w:r>
        <w:rPr>
          <w:rFonts w:ascii="Calibri" w:hAnsi="Calibri"/>
          <w:color w:val="525866"/>
          <w:sz w:val="22"/>
        </w:rPr>
        <w:t xml:space="preserve"> Shell reports Q2 adjusted earnings of $9.84B (beat); Valero reports record Q2 refining margins of $23.62/bbl — strong positive read-throughs for CVX.</w:t>
      </w:r>
    </w:p>
    <w:p>
      <w:r>
        <w:rPr>
          <w:rFonts w:ascii="Calibri" w:hAnsi="Calibri"/>
          <w:b/>
          <w:color w:val="525866"/>
          <w:sz w:val="22"/>
        </w:rPr>
        <w:t xml:space="preserve">Valuation Context: </w:t>
      </w:r>
      <w:r>
        <w:rPr>
          <w:rFonts w:ascii="Calibri" w:hAnsi="Calibri"/>
          <w:color w:val="525866"/>
          <w:sz w:val="22"/>
        </w:rPr>
        <w:t>CVX currently trades at 14.1x NTM P/E and 6.9x NTM EV/EBITDA. The 1-month EV/EBITDA expanded from 6.14x to 6.88x (+11.9%), driven almost entirely by the oil price rally rather than estimate revisions. Over 6 months, the P/E multiple has compressed from 24.9x to 14.1x (-43%) as EPS estimates surged with oil prices — confirming the stock is cheap on earnings power at current commodity prices.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Microsoft/Project Kilby deal (June 22) is the most strategically significant post-earnings development, transforming CVX from a pure-play energy company into a power generator with a 20-year, non-commodity-correlated revenue stream. The Iraq investment announcements (July 16–17) and the ongoing Hormuz disruption are the most important near-term earnings drivers.</w:t>
      </w:r>
    </w:p>
    <w:p>
      <w:pPr>
        <w:pStyle w:val="ListBullet"/>
        <w:ind w:left="360" w:hanging="360"/>
      </w:pPr>
      <w:r>
        <w:rPr>
          <w:rFonts w:ascii="Calibri" w:hAnsi="Calibri"/>
          <w:b/>
          <w:color w:val="525866"/>
          <w:sz w:val="22"/>
        </w:rPr>
        <w:t>Jun 22 — Microsoft/Project Kilby Power Deal Signed (MOST SIGNIFICANT):</w:t>
      </w:r>
      <w:r>
        <w:rPr>
          <w:rFonts w:ascii="Calibri" w:hAnsi="Calibri"/>
          <w:color w:val="525866"/>
          <w:sz w:val="22"/>
        </w:rPr>
        <w:t xml:space="preserve"> CVX signed a definitive 20-year agreement with Microsoft to develop Project Kilby, a co-located natural gas power facility at Pecos, Texas, expected to ramp to 2.67 GW. First power targeted by 2028; FID expected by year-end 2026. Partners include Engine No. 1 and GE Vernova. This is among the largest co-located natural gas power projects in the U.S. and represents a new, non-commodity-correlated revenue stream for CVX. </w:t>
      </w:r>
      <w:r>
        <w:rPr>
          <w:rFonts w:ascii="Calibri" w:hAnsi="Calibri"/>
          <w:b/>
          <w:color w:val="525866"/>
          <w:sz w:val="22"/>
        </w:rPr>
        <w:t xml:space="preserve">Implication: </w:t>
      </w:r>
      <w:r>
        <w:rPr>
          <w:rFonts w:ascii="Calibri" w:hAnsi="Calibri"/>
          <w:color w:val="525866"/>
          <w:sz w:val="22"/>
        </w:rPr>
        <w:t>Adds a long-duration annuity-style cash flow stream; management will likely provide FID timeline update on Q2 call.</w:t>
      </w:r>
    </w:p>
    <w:p>
      <w:pPr>
        <w:pStyle w:val="ListBullet"/>
        <w:ind w:left="360" w:hanging="360"/>
      </w:pPr>
      <w:r>
        <w:rPr>
          <w:rFonts w:ascii="Calibri" w:hAnsi="Calibri"/>
          <w:b/>
          <w:color w:val="525866"/>
          <w:sz w:val="22"/>
        </w:rPr>
        <w:t>Jul 16–17 — Iraq Investment Deals &amp; Hormuz Alternative Pipeline:</w:t>
      </w:r>
      <w:r>
        <w:rPr>
          <w:rFonts w:ascii="Calibri" w:hAnsi="Calibri"/>
          <w:color w:val="525866"/>
          <w:sz w:val="22"/>
        </w:rPr>
        <w:t xml:space="preserve"> CVX signed preliminary deals to invest in two Iraqi oil fields and joined a consortium exploring a pipeline connecting Iraq's oil patch to the Syrian coast, bypassing the Strait of Hormuz. Part of a broader Gulf government effort to diversify export routes. </w:t>
      </w:r>
      <w:r>
        <w:rPr>
          <w:rFonts w:ascii="Calibri" w:hAnsi="Calibri"/>
          <w:b/>
          <w:color w:val="525866"/>
          <w:sz w:val="22"/>
        </w:rPr>
        <w:t xml:space="preserve">Implication: </w:t>
      </w:r>
      <w:r>
        <w:rPr>
          <w:rFonts w:ascii="Calibri" w:hAnsi="Calibri"/>
          <w:color w:val="525866"/>
          <w:sz w:val="22"/>
        </w:rPr>
        <w:t>Signals CVX is actively building production growth optionality in a post-Hormuz world; capital commitment details will be a key Q2 call topic.</w:t>
      </w:r>
    </w:p>
    <w:p>
      <w:pPr>
        <w:pStyle w:val="ListBullet"/>
        <w:ind w:left="360" w:hanging="360"/>
      </w:pPr>
      <w:r>
        <w:rPr>
          <w:rFonts w:ascii="Calibri" w:hAnsi="Calibri"/>
          <w:b/>
          <w:color w:val="525866"/>
          <w:sz w:val="22"/>
        </w:rPr>
        <w:t>Jul 8 — Chemical Surfactant Technology Licensing:</w:t>
      </w:r>
      <w:r>
        <w:rPr>
          <w:rFonts w:ascii="Calibri" w:hAnsi="Calibri"/>
          <w:color w:val="525866"/>
          <w:sz w:val="22"/>
        </w:rPr>
        <w:t xml:space="preserve"> CVX announced it will license its proprietary chemical surfactant technology (which boosts new well production by up to 20% in year 1 and reduces decline in existing wells by 5–8%) to ZL Chemicals for sale to rival operators. CVX holds royalty interests in Permian wells operated by others, so broader adoption directly benefits CVX's royalty income. </w:t>
      </w:r>
      <w:r>
        <w:rPr>
          <w:rFonts w:ascii="Calibri" w:hAnsi="Calibri"/>
          <w:b/>
          <w:color w:val="525866"/>
          <w:sz w:val="22"/>
        </w:rPr>
        <w:t xml:space="preserve">Implication: </w:t>
      </w:r>
      <w:r>
        <w:rPr>
          <w:rFonts w:ascii="Calibri" w:hAnsi="Calibri"/>
          <w:color w:val="525866"/>
          <w:sz w:val="22"/>
        </w:rPr>
        <w:t>New royalty revenue stream; also signals confidence in Permian plateau strategy.</w:t>
      </w:r>
    </w:p>
    <w:p>
      <w:pPr>
        <w:pStyle w:val="ListBullet"/>
        <w:ind w:left="360" w:hanging="360"/>
      </w:pPr>
      <w:r>
        <w:rPr>
          <w:rFonts w:ascii="Calibri" w:hAnsi="Calibri"/>
          <w:b/>
          <w:color w:val="525866"/>
          <w:sz w:val="22"/>
        </w:rPr>
        <w:t>Jun 22 — J.P. Morgan Natural Resources Conference (Jeff Gustavson, President — New Energies):</w:t>
      </w:r>
      <w:r>
        <w:rPr>
          <w:rFonts w:ascii="Calibri" w:hAnsi="Calibri"/>
          <w:color w:val="525866"/>
          <w:sz w:val="22"/>
        </w:rPr>
        <w:t xml:space="preserve"> CVX's New Energies president participated in a fireside chat, signaling continued strategic emphasis on the power/data center opportunity. No new financial guidance disclosed.</w:t>
      </w:r>
    </w:p>
    <w:p>
      <w:pPr>
        <w:pStyle w:val="ListBullet"/>
        <w:ind w:left="360" w:hanging="360"/>
      </w:pPr>
      <w:r>
        <w:rPr>
          <w:rFonts w:ascii="Calibri" w:hAnsi="Calibri"/>
          <w:b/>
          <w:color w:val="525866"/>
          <w:sz w:val="22"/>
        </w:rPr>
        <w:t>Jun 12 — CEO Signals Openness to Middle East Expansion:</w:t>
      </w:r>
      <w:r>
        <w:rPr>
          <w:rFonts w:ascii="Calibri" w:hAnsi="Calibri"/>
          <w:color w:val="525866"/>
          <w:sz w:val="22"/>
        </w:rPr>
        <w:t xml:space="preserve"> CEO Mike Wirth publicly stated CVX is open to expanding its Middle East presence, citing improved investment terms despite geopolitical risks. </w:t>
      </w:r>
      <w:r>
        <w:rPr>
          <w:rFonts w:ascii="Calibri" w:hAnsi="Calibri"/>
          <w:b/>
          <w:color w:val="525866"/>
          <w:sz w:val="22"/>
        </w:rPr>
        <w:t xml:space="preserve">Implication: </w:t>
      </w:r>
      <w:r>
        <w:rPr>
          <w:rFonts w:ascii="Calibri" w:hAnsi="Calibri"/>
          <w:color w:val="525866"/>
          <w:sz w:val="22"/>
        </w:rPr>
        <w:t>Consistent with the Iraq deal announcements; suggests a more active international growth posture.</w:t>
      </w:r>
    </w:p>
    <w:p>
      <w:pPr>
        <w:pStyle w:val="ListBullet"/>
        <w:ind w:left="360" w:hanging="360"/>
      </w:pPr>
      <w:r>
        <w:rPr>
          <w:rFonts w:ascii="Calibri" w:hAnsi="Calibri"/>
          <w:b/>
          <w:color w:val="525866"/>
          <w:sz w:val="22"/>
        </w:rPr>
        <w:t>Jun 25 — CFO Comments on Gas Prices:</w:t>
      </w:r>
      <w:r>
        <w:rPr>
          <w:rFonts w:ascii="Calibri" w:hAnsi="Calibri"/>
          <w:color w:val="525866"/>
          <w:sz w:val="22"/>
        </w:rPr>
        <w:t xml:space="preserve"> CFO Eimear Bonner stated gas prices would normalize after President Trump accused 'Big Oil' of gouging consumers. </w:t>
      </w:r>
      <w:r>
        <w:rPr>
          <w:rFonts w:ascii="Calibri" w:hAnsi="Calibri"/>
          <w:b/>
          <w:color w:val="525866"/>
          <w:sz w:val="22"/>
        </w:rPr>
        <w:t xml:space="preserve">Implication: </w:t>
      </w:r>
      <w:r>
        <w:rPr>
          <w:rFonts w:ascii="Calibri" w:hAnsi="Calibri"/>
          <w:color w:val="525866"/>
          <w:sz w:val="22"/>
        </w:rPr>
        <w:t>Signals management is comfortable with the political environment and not expecting punitive regulatory action.</w:t>
      </w:r>
    </w:p>
    <w:p>
      <w:pPr>
        <w:pStyle w:val="ListBullet"/>
        <w:ind w:left="360" w:hanging="360"/>
      </w:pPr>
      <w:r>
        <w:rPr>
          <w:rFonts w:ascii="Calibri" w:hAnsi="Calibri"/>
          <w:b/>
          <w:color w:val="525866"/>
          <w:sz w:val="22"/>
        </w:rPr>
        <w:t>Jul 10 — Australia Gas Supply Agreement:</w:t>
      </w:r>
      <w:r>
        <w:rPr>
          <w:rFonts w:ascii="Calibri" w:hAnsi="Calibri"/>
          <w:color w:val="525866"/>
          <w:sz w:val="22"/>
        </w:rPr>
        <w:t xml:space="preserve"> CVX Australia signed a 5-year agreement to supply 46 petajoules of natural gas to Alinta Energy in Western Australia, starting July 2027. Incremental contracted revenue for the Gorgon/Wheatstone portfolio.</w:t>
      </w:r>
    </w:p>
    <w:p>
      <w:pPr>
        <w:pStyle w:val="ListBullet"/>
        <w:ind w:left="360" w:hanging="360"/>
      </w:pPr>
      <w:r>
        <w:rPr>
          <w:rFonts w:ascii="Calibri" w:hAnsi="Calibri"/>
          <w:b/>
          <w:color w:val="525866"/>
          <w:sz w:val="22"/>
        </w:rPr>
        <w:t>May 11 — Syria Offshore Block Award:</w:t>
      </w:r>
      <w:r>
        <w:rPr>
          <w:rFonts w:ascii="Calibri" w:hAnsi="Calibri"/>
          <w:color w:val="525866"/>
          <w:sz w:val="22"/>
        </w:rPr>
        <w:t xml:space="preserve"> Syria selected an offshore block with CVX and Qatar's UCC Holding for its first deep-water oil &amp; gas project. Early-stage exploration optionality in a frontier basin.</w:t>
      </w:r>
    </w:p>
    <w:p>
      <w:pPr>
        <w:pStyle w:val="ListBullet"/>
        <w:ind w:left="360" w:hanging="360"/>
      </w:pPr>
      <w:r>
        <w:rPr>
          <w:rFonts w:ascii="Calibri" w:hAnsi="Calibri"/>
          <w:b/>
          <w:color w:val="525866"/>
          <w:sz w:val="22"/>
        </w:rPr>
        <w:t>Ongoing — U.S.-Iran War &amp; Strait of Hormuz Disruption:</w:t>
      </w:r>
      <w:r>
        <w:rPr>
          <w:rFonts w:ascii="Calibri" w:hAnsi="Calibri"/>
          <w:color w:val="525866"/>
          <w:sz w:val="22"/>
        </w:rPr>
        <w:t xml:space="preserve"> Vessel traffic through Hormuz fell 66% in the week through July 20 (53 transits vs. 157 prior week). Brent averaged ~$96.68/bbl in Q2 and crossed $100/bbl on July 23 after Houthi strikes on Saudi tankers. The conflict is the single largest driver of CVX's Q2 earnings upside. </w:t>
      </w:r>
      <w:r>
        <w:rPr>
          <w:rFonts w:ascii="Calibri" w:hAnsi="Calibri"/>
          <w:b/>
          <w:color w:val="525866"/>
          <w:sz w:val="22"/>
        </w:rPr>
        <w:t xml:space="preserve">Implication: </w:t>
      </w:r>
      <w:r>
        <w:rPr>
          <w:rFonts w:ascii="Calibri" w:hAnsi="Calibri"/>
          <w:color w:val="525866"/>
          <w:sz w:val="22"/>
        </w:rPr>
        <w:t>CVX's integrated downstream value capture (&gt;40% equity crude throughput in Asia, &gt;50% in U.S.) is a structural competitive advantage in this environment.</w:t>
      </w:r>
    </w:p>
    <w:p>
      <w:pPr>
        <w:pStyle w:val="ListBullet"/>
        <w:ind w:left="360" w:hanging="360"/>
      </w:pPr>
      <w:r>
        <w:rPr>
          <w:rFonts w:ascii="Calibri" w:hAnsi="Calibri"/>
          <w:b/>
          <w:color w:val="525866"/>
          <w:sz w:val="22"/>
        </w:rPr>
        <w:t>Jul 30 — Shell Q2 Beat &amp; Valero Record Refining Margins:</w:t>
      </w:r>
      <w:r>
        <w:rPr>
          <w:rFonts w:ascii="Calibri" w:hAnsi="Calibri"/>
          <w:color w:val="525866"/>
          <w:sz w:val="22"/>
        </w:rPr>
        <w:t xml:space="preserve"> Shell reported $9.84B adjusted earnings (beat vs. $8.79B consensus); Valero reported record Q2 refining margins of $23.62/bbl (vs. $12.35/bbl in Q2 2025). Both are strong positive read-throughs for CVX's Q2 downstream performance.</w:t>
      </w:r>
    </w:p>
    <w:p>
      <w:r>
        <w:br w:type="page"/>
      </w:r>
    </w:p>
    <w:p>
      <w:pPr>
        <w:pStyle w:val="Heading2"/>
      </w:pPr>
      <w:r>
        <w:rPr>
          <w:rFonts w:ascii="Calibri" w:hAnsi="Calibri"/>
          <w:b/>
          <w:color w:val="3B4259"/>
          <w:sz w:val="28"/>
        </w:rPr>
        <w:t>7. Peer Commentary &amp; Q2 2026 Read-Through</w:t>
      </w:r>
    </w:p>
    <w:p>
      <w:r>
        <w:rPr>
          <w:rFonts w:ascii="Calibri" w:hAnsi="Calibri"/>
          <w:b/>
          <w:color w:val="525866"/>
          <w:sz w:val="22"/>
        </w:rPr>
        <w:t xml:space="preserve">Key Takeaway: </w:t>
      </w:r>
      <w:r>
        <w:rPr>
          <w:rFonts w:ascii="Calibri" w:hAnsi="Calibri"/>
          <w:color w:val="525866"/>
          <w:sz w:val="22"/>
        </w:rPr>
        <w:t>Peer commentary from Q2 2026 is overwhelmingly bullish for CVX — oil realizations surged ~38% QoQ (OXY), refining margins more than doubled YoY (Valero), Shell beat on integrated earnings, and oilfield services firms confirmed broad international activity growth. The only cautionary note is Middle East upstream disruption (BP, HAL, SLB), which has limited direct impact on CVX given &lt;5% of its portfolio in the region.</w:t>
      </w:r>
    </w:p>
    <w:p>
      <w:r>
        <w:rPr>
          <w:rFonts w:ascii="Calibri" w:hAnsi="Calibri"/>
          <w:i/>
          <w:color w:val="525866"/>
          <w:sz w:val="22"/>
        </w:rPr>
        <w:t>Note: Only peer disclosures made after May 30, 2026 that address the then-current Q2 2026 quarter are included below.</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 / Source</w:t>
            </w:r>
          </w:p>
        </w:tc>
        <w:tc>
          <w:tcPr>
            <w:tcW w:type="dxa" w:w="1728"/>
            <w:shd w:val="clear" w:color="auto" w:fill="3B4259"/>
          </w:tcPr>
          <w:p>
            <w:r>
              <w:rPr>
                <w:rFonts w:ascii="Calibri" w:hAnsi="Calibri"/>
                <w:b/>
                <w:color w:val="FFFFFF"/>
                <w:sz w:val="22"/>
              </w:rPr>
              <w:t>Disclosure Date</w:t>
            </w:r>
          </w:p>
        </w:tc>
        <w:tc>
          <w:tcPr>
            <w:tcW w:type="dxa" w:w="1728"/>
            <w:shd w:val="clear" w:color="auto" w:fill="3B4259"/>
          </w:tcPr>
          <w:p>
            <w:r>
              <w:rPr>
                <w:rFonts w:ascii="Calibri" w:hAnsi="Calibri"/>
                <w:b/>
                <w:color w:val="FFFFFF"/>
                <w:sz w:val="22"/>
              </w:rPr>
              <w:t>Key Q2 2026 Datapoint / Commentary</w:t>
            </w:r>
          </w:p>
        </w:tc>
        <w:tc>
          <w:tcPr>
            <w:tcW w:type="dxa" w:w="1728"/>
            <w:shd w:val="clear" w:color="auto" w:fill="3B4259"/>
          </w:tcPr>
          <w:p>
            <w:r>
              <w:rPr>
                <w:rFonts w:ascii="Calibri" w:hAnsi="Calibri"/>
                <w:b/>
                <w:color w:val="FFFFFF"/>
                <w:sz w:val="22"/>
              </w:rPr>
              <w:t>CVX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ExxonMobil (XOM) — Pre-announcement</w:t>
            </w:r>
          </w:p>
        </w:tc>
        <w:tc>
          <w:tcPr>
            <w:tcW w:type="dxa" w:w="1728"/>
          </w:tcPr>
          <w:p>
            <w:r>
              <w:rPr>
                <w:rFonts w:ascii="Calibri" w:hAnsi="Calibri"/>
                <w:sz w:val="22"/>
              </w:rPr>
              <w:t>Jul 7, 2026</w:t>
            </w:r>
          </w:p>
        </w:tc>
        <w:tc>
          <w:tcPr>
            <w:tcW w:type="dxa" w:w="1728"/>
          </w:tcPr>
          <w:p>
            <w:r>
              <w:rPr>
                <w:rFonts w:ascii="Calibri" w:hAnsi="Calibri"/>
                <w:sz w:val="22"/>
              </w:rPr>
              <w:t>XOM signaled Q2 upstream earnings boost of $3.5–$3.9B from oil price changes. Brent averaged $93.58/bbl in Q2, up 4.8% QoQ; Brent hit $109.27/bbl in April for first time since 2022.</w:t>
            </w:r>
          </w:p>
        </w:tc>
        <w:tc>
          <w:tcPr>
            <w:tcW w:type="dxa" w:w="1728"/>
          </w:tcPr>
          <w:p>
            <w:r>
              <w:rPr>
                <w:rFonts w:ascii="Calibri" w:hAnsi="Calibri"/>
                <w:sz w:val="22"/>
              </w:rPr>
              <w:t>Strongly positive for CVX upstream oil realizations. The same Brent price environment that boosted XOM's upstream by $3.5–3.9B applies directly to CVX's ~3.86 MMboe/d production base. CVX's Q2 EPS consensus of $5.65 (vs. $1.41 in Q1) is consistent with this magnitude of commodity tailwind.</w:t>
            </w:r>
          </w:p>
        </w:tc>
        <w:tc>
          <w:tcPr>
            <w:tcW w:type="dxa" w:w="1728"/>
          </w:tcPr>
          <w:p>
            <w:r>
              <w:rPr>
                <w:rFonts w:ascii="Calibri" w:hAnsi="Calibri"/>
                <w:b/>
                <w:color w:val="30A46C"/>
                <w:sz w:val="22"/>
              </w:rPr>
              <w:t>Bullish</w:t>
            </w:r>
          </w:p>
        </w:tc>
      </w:tr>
      <w:tr>
        <w:tc>
          <w:tcPr>
            <w:tcW w:type="dxa" w:w="1728"/>
          </w:tcPr>
          <w:p>
            <w:r>
              <w:rPr>
                <w:rFonts w:ascii="Calibri" w:hAnsi="Calibri"/>
                <w:sz w:val="22"/>
              </w:rPr>
              <w:t>Occidental Petroleum (OXY) — SEC Filing</w:t>
            </w:r>
          </w:p>
        </w:tc>
        <w:tc>
          <w:tcPr>
            <w:tcW w:type="dxa" w:w="1728"/>
          </w:tcPr>
          <w:p>
            <w:r>
              <w:rPr>
                <w:rFonts w:ascii="Calibri" w:hAnsi="Calibri"/>
                <w:sz w:val="22"/>
              </w:rPr>
              <w:t>Jul 10, 2026</w:t>
            </w:r>
          </w:p>
        </w:tc>
        <w:tc>
          <w:tcPr>
            <w:tcW w:type="dxa" w:w="1728"/>
          </w:tcPr>
          <w:p>
            <w:r>
              <w:rPr>
                <w:rFonts w:ascii="Calibri" w:hAnsi="Calibri"/>
                <w:sz w:val="22"/>
              </w:rPr>
              <w:t>OXY worldwide avg realized oil price rose 38.4% QoQ to $96.78/bbl in Q2 (vs. $69.91/bbl in Q1). Brent avg closing price was $96.68/bbl in Q2, up 23% QoQ. NGL prices rose ~30% QoQ to $24.64/bbl. Natural gas realizations turned negative at -$0.80/mcf (vs. +$1.20/mcf in Q1).</w:t>
            </w:r>
          </w:p>
        </w:tc>
        <w:tc>
          <w:tcPr>
            <w:tcW w:type="dxa" w:w="1728"/>
          </w:tcPr>
          <w:p>
            <w:r>
              <w:rPr>
                <w:rFonts w:ascii="Calibri" w:hAnsi="Calibri"/>
                <w:sz w:val="22"/>
              </w:rPr>
              <w:t>Strongly positive for CVX oil and NGL realizations. The 38.4% QoQ surge in realized oil prices is the most precise read-through available for CVX's upstream revenue. Negative natural gas realizations are a modest headwind for CVX's U.S. gas volumes (Permian gas prices already negative per Q1 call), but oil dominates the earnings mix.</w:t>
            </w:r>
          </w:p>
        </w:tc>
        <w:tc>
          <w:tcPr>
            <w:tcW w:type="dxa" w:w="1728"/>
          </w:tcPr>
          <w:p>
            <w:r>
              <w:rPr>
                <w:rFonts w:ascii="Calibri" w:hAnsi="Calibri"/>
                <w:b/>
                <w:color w:val="30A46C"/>
                <w:sz w:val="22"/>
              </w:rPr>
              <w:t>Bullish (oil/NGL); Bearish (nat gas)</w:t>
            </w:r>
          </w:p>
        </w:tc>
      </w:tr>
      <w:tr>
        <w:tc>
          <w:tcPr>
            <w:tcW w:type="dxa" w:w="1728"/>
          </w:tcPr>
          <w:p>
            <w:r>
              <w:rPr>
                <w:rFonts w:ascii="Calibri" w:hAnsi="Calibri"/>
                <w:sz w:val="22"/>
              </w:rPr>
              <w:t>Shell (SHEL) — Q2 Trading Update</w:t>
            </w:r>
          </w:p>
        </w:tc>
        <w:tc>
          <w:tcPr>
            <w:tcW w:type="dxa" w:w="1728"/>
          </w:tcPr>
          <w:p>
            <w:r>
              <w:rPr>
                <w:rFonts w:ascii="Calibri" w:hAnsi="Calibri"/>
                <w:sz w:val="22"/>
              </w:rPr>
              <w:t>Jul 7, 2026</w:t>
            </w:r>
          </w:p>
        </w:tc>
        <w:tc>
          <w:tcPr>
            <w:tcW w:type="dxa" w:w="1728"/>
          </w:tcPr>
          <w:p>
            <w:r>
              <w:rPr>
                <w:rFonts w:ascii="Calibri" w:hAnsi="Calibri"/>
                <w:sz w:val="22"/>
              </w:rPr>
              <w:t>Shell slightly raised Q2 integrated gas production guidance to 610–650 Kboe/d (from 580–640 Kboe/d), though still ~30% below Q1's 909 Kboe/d due to Qatar Pearl GTL stoppage. Trading results expected in-line with prior quarter's strong performance.</w:t>
            </w:r>
          </w:p>
        </w:tc>
        <w:tc>
          <w:tcPr>
            <w:tcW w:type="dxa" w:w="1728"/>
          </w:tcPr>
          <w:p>
            <w:r>
              <w:rPr>
                <w:rFonts w:ascii="Calibri" w:hAnsi="Calibri"/>
                <w:sz w:val="22"/>
              </w:rPr>
              <w:t>Mixed. Shell's production decline is Qatar-specific (Pearl GTL damage) and does not apply to CVX. The strong trading result read-through is positive for CVX's downstream/trading operations. CVX has &lt;5% of portfolio in Middle East, so production disruption risk is limited.</w:t>
            </w:r>
          </w:p>
        </w:tc>
        <w:tc>
          <w:tcPr>
            <w:tcW w:type="dxa" w:w="1728"/>
          </w:tcPr>
          <w:p>
            <w:r>
              <w:rPr>
                <w:rFonts w:ascii="Calibri" w:hAnsi="Calibri"/>
                <w:b/>
                <w:color w:val="002FA7"/>
                <w:sz w:val="22"/>
              </w:rPr>
              <w:t>Mixed</w:t>
            </w:r>
          </w:p>
        </w:tc>
      </w:tr>
      <w:tr>
        <w:tc>
          <w:tcPr>
            <w:tcW w:type="dxa" w:w="1728"/>
          </w:tcPr>
          <w:p>
            <w:r>
              <w:rPr>
                <w:rFonts w:ascii="Calibri" w:hAnsi="Calibri"/>
                <w:sz w:val="22"/>
              </w:rPr>
              <w:t>BP (BP) — Q2 Trading Update</w:t>
            </w:r>
          </w:p>
        </w:tc>
        <w:tc>
          <w:tcPr>
            <w:tcW w:type="dxa" w:w="1728"/>
          </w:tcPr>
          <w:p>
            <w:r>
              <w:rPr>
                <w:rFonts w:ascii="Calibri" w:hAnsi="Calibri"/>
                <w:sz w:val="22"/>
              </w:rPr>
              <w:t>Jul 14, 2026</w:t>
            </w:r>
          </w:p>
        </w:tc>
        <w:tc>
          <w:tcPr>
            <w:tcW w:type="dxa" w:w="1728"/>
          </w:tcPr>
          <w:p>
            <w:r>
              <w:rPr>
                <w:rFonts w:ascii="Calibri" w:hAnsi="Calibri"/>
                <w:sz w:val="22"/>
              </w:rPr>
              <w:t>BP expects 'slightly higher oil-trading result' in Q2 vs. Q1's exceptional performance. Q2 upstream production guided to 2.17–2.22 MMboe/d (vs. 2.34 MMboe/d in Q1), down due to seasonal maintenance and Middle East disruption.</w:t>
            </w:r>
          </w:p>
        </w:tc>
        <w:tc>
          <w:tcPr>
            <w:tcW w:type="dxa" w:w="1728"/>
          </w:tcPr>
          <w:p>
            <w:r>
              <w:rPr>
                <w:rFonts w:ascii="Calibri" w:hAnsi="Calibri"/>
                <w:sz w:val="22"/>
              </w:rPr>
              <w:t>Positive for CVX trading/downstream (strong oil trading environment). BP's upstream production decline is company-specific (seasonal maintenance + Middle East exposure). CVX's Q1 call explicitly guided Q2 production higher than Q1, suggesting CVX is not facing the same headwinds.</w:t>
            </w:r>
          </w:p>
        </w:tc>
        <w:tc>
          <w:tcPr>
            <w:tcW w:type="dxa" w:w="1728"/>
          </w:tcPr>
          <w:p>
            <w:r>
              <w:rPr>
                <w:rFonts w:ascii="Calibri" w:hAnsi="Calibri"/>
                <w:b/>
                <w:color w:val="30A46C"/>
                <w:sz w:val="22"/>
              </w:rPr>
              <w:t>Bullish (trading); Neutral (production)</w:t>
            </w:r>
          </w:p>
        </w:tc>
      </w:tr>
      <w:tr>
        <w:tc>
          <w:tcPr>
            <w:tcW w:type="dxa" w:w="1728"/>
          </w:tcPr>
          <w:p>
            <w:r>
              <w:rPr>
                <w:rFonts w:ascii="Calibri" w:hAnsi="Calibri"/>
                <w:sz w:val="22"/>
              </w:rPr>
              <w:t>Shell (SHEL) — Q2 2026 Earnings</w:t>
            </w:r>
          </w:p>
        </w:tc>
        <w:tc>
          <w:tcPr>
            <w:tcW w:type="dxa" w:w="1728"/>
          </w:tcPr>
          <w:p>
            <w:r>
              <w:rPr>
                <w:rFonts w:ascii="Calibri" w:hAnsi="Calibri"/>
                <w:sz w:val="22"/>
              </w:rPr>
              <w:t>Jul 30, 2026</w:t>
            </w:r>
          </w:p>
        </w:tc>
        <w:tc>
          <w:tcPr>
            <w:tcW w:type="dxa" w:w="1728"/>
          </w:tcPr>
          <w:p>
            <w:r>
              <w:rPr>
                <w:rFonts w:ascii="Calibri" w:hAnsi="Calibri"/>
                <w:sz w:val="22"/>
              </w:rPr>
              <w:t>Shell Q2 adjusted earnings of $9.84B (beat vs. $8.79B consensus); cash flow from operations &gt;$21B. Refineries achieved record 102% utilization. Chemicals posted best results in 5+ years. LNG trading captured 'significant additional value.' Brazil delivered record production.</w:t>
            </w:r>
          </w:p>
        </w:tc>
        <w:tc>
          <w:tcPr>
            <w:tcW w:type="dxa" w:w="1728"/>
          </w:tcPr>
          <w:p>
            <w:r>
              <w:rPr>
                <w:rFonts w:ascii="Calibri" w:hAnsi="Calibri"/>
                <w:sz w:val="22"/>
              </w:rPr>
              <w:t>Strongly positive across all CVX segments. Record refinery utilization and strong LNG trading are direct read-throughs for CVX's downstream integration value capture (guided to &gt;40% equity crude throughput in Asia). Shell's chemicals improvement is positive for CVX's CPChem JV. Brazil record production is positive for CVX's Guyana/offshore portfolio.</w:t>
            </w:r>
          </w:p>
        </w:tc>
        <w:tc>
          <w:tcPr>
            <w:tcW w:type="dxa" w:w="1728"/>
          </w:tcPr>
          <w:p>
            <w:r>
              <w:rPr>
                <w:rFonts w:ascii="Calibri" w:hAnsi="Calibri"/>
                <w:b/>
                <w:color w:val="30A46C"/>
                <w:sz w:val="22"/>
              </w:rPr>
              <w:t>Bullish</w:t>
            </w:r>
          </w:p>
        </w:tc>
      </w:tr>
      <w:tr>
        <w:tc>
          <w:tcPr>
            <w:tcW w:type="dxa" w:w="1728"/>
          </w:tcPr>
          <w:p>
            <w:r>
              <w:rPr>
                <w:rFonts w:ascii="Calibri" w:hAnsi="Calibri"/>
                <w:sz w:val="22"/>
              </w:rPr>
              <w:t>Valero Energy (VLO) — Q2 2026 Earnings</w:t>
            </w:r>
          </w:p>
        </w:tc>
        <w:tc>
          <w:tcPr>
            <w:tcW w:type="dxa" w:w="1728"/>
          </w:tcPr>
          <w:p>
            <w:r>
              <w:rPr>
                <w:rFonts w:ascii="Calibri" w:hAnsi="Calibri"/>
                <w:sz w:val="22"/>
              </w:rPr>
              <w:t>Jul 30, 2026</w:t>
            </w:r>
          </w:p>
        </w:tc>
        <w:tc>
          <w:tcPr>
            <w:tcW w:type="dxa" w:w="1728"/>
          </w:tcPr>
          <w:p>
            <w:r>
              <w:rPr>
                <w:rFonts w:ascii="Calibri" w:hAnsi="Calibri"/>
                <w:sz w:val="22"/>
              </w:rPr>
              <w:t>VLO Q2 refining margin of $23.62/bbl (vs. $12.35/bbl in Q2 2025, nearly doubled). Refining segment operating income of $4.4B (vs. $1.3B in Q2 2025). Throughput of 3.0 MMbpd. Management: 'Refining fundamentals remain supported by low global product inventories, limited excess refining capacity, and resilient demand.' Q3 margins and capture rates 'look constructive relative to Q2.' ~5 MMbbl/d of global refining capacity offline.</w:t>
            </w:r>
          </w:p>
        </w:tc>
        <w:tc>
          <w:tcPr>
            <w:tcW w:type="dxa" w:w="1728"/>
          </w:tcPr>
          <w:p>
            <w:r>
              <w:rPr>
                <w:rFonts w:ascii="Calibri" w:hAnsi="Calibri"/>
                <w:sz w:val="22"/>
              </w:rPr>
              <w:t>Strongly positive for CVX downstream. The near-doubling of refining margins is the most direct read-through for CVX's U.S. and international refining operations. CVX's integrated model (directing equity crude to own refineries at &gt;50% in U.S., &gt;40% in Asia) means CVX captures both the upstream realization AND the refining margin simultaneously — a structural advantage over pure-play refiners like VLO.</w:t>
            </w:r>
          </w:p>
        </w:tc>
        <w:tc>
          <w:tcPr>
            <w:tcW w:type="dxa" w:w="1728"/>
          </w:tcPr>
          <w:p>
            <w:r>
              <w:rPr>
                <w:rFonts w:ascii="Calibri" w:hAnsi="Calibri"/>
                <w:b/>
                <w:color w:val="30A46C"/>
                <w:sz w:val="22"/>
              </w:rPr>
              <w:t>Bullish</w:t>
            </w:r>
          </w:p>
        </w:tc>
      </w:tr>
      <w:tr>
        <w:tc>
          <w:tcPr>
            <w:tcW w:type="dxa" w:w="1728"/>
          </w:tcPr>
          <w:p>
            <w:r>
              <w:rPr>
                <w:rFonts w:ascii="Calibri" w:hAnsi="Calibri"/>
                <w:sz w:val="22"/>
              </w:rPr>
              <w:t>SLB (SLB) — Q2 2026 Earnings</w:t>
            </w:r>
          </w:p>
        </w:tc>
        <w:tc>
          <w:tcPr>
            <w:tcW w:type="dxa" w:w="1728"/>
          </w:tcPr>
          <w:p>
            <w:r>
              <w:rPr>
                <w:rFonts w:ascii="Calibri" w:hAnsi="Calibri"/>
                <w:sz w:val="22"/>
              </w:rPr>
              <w:t>Jul 24, 2026</w:t>
            </w:r>
          </w:p>
        </w:tc>
        <w:tc>
          <w:tcPr>
            <w:tcW w:type="dxa" w:w="1728"/>
          </w:tcPr>
          <w:p>
            <w:r>
              <w:rPr>
                <w:rFonts w:ascii="Calibri" w:hAnsi="Calibri"/>
                <w:sz w:val="22"/>
              </w:rPr>
              <w:t>SLB Q2 revenue of $9.0B (+3% QoQ) despite 'severe disruptions in the Middle East.' International growth led by Latin America (Brazil, Guyana, Mexico), Europe/Africa, and Asia. Middle East revenue fell 13% QoQ to $1.66B. Production systems revenue +7% QoQ. CEO: 'broad based international growth and rebound in North America, excluding the Middle East.'</w:t>
            </w:r>
          </w:p>
        </w:tc>
        <w:tc>
          <w:tcPr>
            <w:tcW w:type="dxa" w:w="1728"/>
          </w:tcPr>
          <w:p>
            <w:r>
              <w:rPr>
                <w:rFonts w:ascii="Calibri" w:hAnsi="Calibri"/>
                <w:sz w:val="22"/>
              </w:rPr>
              <w:t>Positive for CVX's international upstream (Latin America, Asia, offshore). Confirms robust activity in Guyana, Brazil, and Australia — all key CVX growth assets. Middle East weakness is a modest negative for CVX's Partitioned Zone operations, but management already guided those at near-minimum rates.</w:t>
            </w:r>
          </w:p>
        </w:tc>
        <w:tc>
          <w:tcPr>
            <w:tcW w:type="dxa" w:w="1728"/>
          </w:tcPr>
          <w:p>
            <w:r>
              <w:rPr>
                <w:rFonts w:ascii="Calibri" w:hAnsi="Calibri"/>
                <w:b/>
                <w:color w:val="30A46C"/>
                <w:sz w:val="22"/>
              </w:rPr>
              <w:t>Bullish (ex-ME)</w:t>
            </w:r>
          </w:p>
        </w:tc>
      </w:tr>
      <w:tr>
        <w:tc>
          <w:tcPr>
            <w:tcW w:type="dxa" w:w="1728"/>
          </w:tcPr>
          <w:p>
            <w:r>
              <w:rPr>
                <w:rFonts w:ascii="Calibri" w:hAnsi="Calibri"/>
                <w:sz w:val="22"/>
              </w:rPr>
              <w:t>Halliburton (HAL) — Q2 2026 Earnings</w:t>
            </w:r>
          </w:p>
        </w:tc>
        <w:tc>
          <w:tcPr>
            <w:tcW w:type="dxa" w:w="1728"/>
          </w:tcPr>
          <w:p>
            <w:r>
              <w:rPr>
                <w:rFonts w:ascii="Calibri" w:hAnsi="Calibri"/>
                <w:sz w:val="22"/>
              </w:rPr>
              <w:t>Jul 21, 2026</w:t>
            </w:r>
          </w:p>
        </w:tc>
        <w:tc>
          <w:tcPr>
            <w:tcW w:type="dxa" w:w="1728"/>
          </w:tcPr>
          <w:p>
            <w:r>
              <w:rPr>
                <w:rFonts w:ascii="Calibri" w:hAnsi="Calibri"/>
                <w:sz w:val="22"/>
              </w:rPr>
              <w:t>HAL Q2 revenue of $5.7B (+6% QoQ); international revenue highest in a decade despite Middle East disruption. North America revenue +7% QoQ with 30+ rig adds. Middle East/Asia revenue -2% QoQ (Kuwait, Iraq, Qatar). CEO: 'Energy security remains a central issue... rebuilding inventories will take years, not quarters.' International ex-ME expected to grow low double digits for FY2026.</w:t>
            </w:r>
          </w:p>
        </w:tc>
        <w:tc>
          <w:tcPr>
            <w:tcW w:type="dxa" w:w="1728"/>
          </w:tcPr>
          <w:p>
            <w:r>
              <w:rPr>
                <w:rFonts w:ascii="Calibri" w:hAnsi="Calibri"/>
                <w:sz w:val="22"/>
              </w:rPr>
              <w:t>Positive for CVX's North America and international upstream activity. The 30+ rig adds in North America and strong international activity (ex-ME) confirm a supportive operating environment for CVX's Permian and offshore assets. HAL's multi-year energy security thesis is consistent with CVX's own long-cycle investment narrative.</w:t>
            </w:r>
          </w:p>
        </w:tc>
        <w:tc>
          <w:tcPr>
            <w:tcW w:type="dxa" w:w="1728"/>
          </w:tcPr>
          <w:p>
            <w:r>
              <w:rPr>
                <w:rFonts w:ascii="Calibri" w:hAnsi="Calibri"/>
                <w:b/>
                <w:color w:val="30A46C"/>
                <w:sz w:val="22"/>
              </w:rPr>
              <w:t>Bullish (ex-ME)</w:t>
            </w:r>
          </w:p>
        </w:tc>
      </w:tr>
      <w:tr>
        <w:tc>
          <w:tcPr>
            <w:tcW w:type="dxa" w:w="1728"/>
          </w:tcPr>
          <w:p>
            <w:r>
              <w:rPr>
                <w:rFonts w:ascii="Calibri" w:hAnsi="Calibri"/>
                <w:sz w:val="22"/>
              </w:rPr>
              <w:t>Baker Hughes (BKR) — Q2 2026 Earnings</w:t>
            </w:r>
          </w:p>
        </w:tc>
        <w:tc>
          <w:tcPr>
            <w:tcW w:type="dxa" w:w="1728"/>
          </w:tcPr>
          <w:p>
            <w:r>
              <w:rPr>
                <w:rFonts w:ascii="Calibri" w:hAnsi="Calibri"/>
                <w:sz w:val="22"/>
              </w:rPr>
              <w:t>Jul 27, 2026</w:t>
            </w:r>
          </w:p>
        </w:tc>
        <w:tc>
          <w:tcPr>
            <w:tcW w:type="dxa" w:w="1728"/>
          </w:tcPr>
          <w:p>
            <w:r>
              <w:rPr>
                <w:rFonts w:ascii="Calibri" w:hAnsi="Calibri"/>
                <w:sz w:val="22"/>
              </w:rPr>
              <w:t>BKR Q2 EPS of $0.64 (beat vs. $0.50 consensus). IET orders of $7.1B (vs. $3.6B consensus) — record, driven by LNG and power systems. Raised full-year IET order guidance. Received major order from Venture Global for 12 LNG trains. Expanding gas turbine/generator capacity to support ~$5B annual power systems revenue opportunity.</w:t>
            </w:r>
          </w:p>
        </w:tc>
        <w:tc>
          <w:tcPr>
            <w:tcW w:type="dxa" w:w="1728"/>
          </w:tcPr>
          <w:p>
            <w:r>
              <w:rPr>
                <w:rFonts w:ascii="Calibri" w:hAnsi="Calibri"/>
                <w:sz w:val="22"/>
              </w:rPr>
              <w:t>Positive for CVX's LNG and power strategy. BKR's record LNG equipment orders confirm robust global LNG demand — directly supportive of CVX's Gorgon/Wheatstone LNG assets and the Project Kilby power strategy. The $5B annual power systems revenue opportunity BKR sees is consistent with CVX's own data center power thesis.</w:t>
            </w:r>
          </w:p>
        </w:tc>
        <w:tc>
          <w:tcPr>
            <w:tcW w:type="dxa" w:w="1728"/>
          </w:tcPr>
          <w:p>
            <w:r>
              <w:rPr>
                <w:rFonts w:ascii="Calibri" w:hAnsi="Calibri"/>
                <w:b/>
                <w:color w:val="30A46C"/>
                <w:sz w:val="22"/>
              </w:rPr>
              <w:t>Bullish</w:t>
            </w:r>
          </w:p>
        </w:tc>
      </w:tr>
    </w:tbl>
    <w:p>
      <w:r>
        <w:rPr>
          <w:rFonts w:ascii="Calibri" w:hAnsi="Calibri"/>
          <w:b/>
          <w:color w:val="525866"/>
          <w:sz w:val="22"/>
        </w:rPr>
        <w:t xml:space="preserve">Summary Read-Through: </w:t>
      </w:r>
      <w:r>
        <w:rPr>
          <w:rFonts w:ascii="Calibri" w:hAnsi="Calibri"/>
          <w:color w:val="525866"/>
          <w:sz w:val="22"/>
        </w:rPr>
        <w:t>Of the 9 peer disclosures above, 7 are bullish, 1 is mixed, and 0 are bearish for CVX's Q2 2026 results. The convergence of record refining margins (Valero), surging oil realizations (OXY, XOM), strong integrated earnings (Shell), and robust international oilfield activity (SLB, HAL, BKR) creates one of the most uniformly positive peer read-through environments in recent memory. The only cautionary note — Middle East upstream disruption — has limited direct impact on CVX given its &lt;5% regional exposure.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insider activity since the Q1 earnings date is two open-market sales by Director John B. Hess (the former Hess CEO who joined CVX's board as part of the acquisition), totaling 575,000 shares sold indirectly through a trust. These are discretionary sales (no 10b5-1 plan) and are notable in size, though they may reflect portfolio diversification following the Hess acquisition rather than a negative view on CVX's outlook.</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Remaining Holdings</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HESS, JOHN B</w:t>
            </w:r>
          </w:p>
        </w:tc>
        <w:tc>
          <w:tcPr>
            <w:tcW w:type="dxa" w:w="1234"/>
          </w:tcPr>
          <w:p>
            <w:r>
              <w:rPr>
                <w:rFonts w:ascii="Calibri" w:hAnsi="Calibri"/>
                <w:sz w:val="22"/>
              </w:rPr>
              <w:t>Director</w:t>
            </w:r>
          </w:p>
        </w:tc>
        <w:tc>
          <w:tcPr>
            <w:tcW w:type="dxa" w:w="1234"/>
          </w:tcPr>
          <w:p>
            <w:r>
              <w:rPr>
                <w:rFonts w:ascii="Calibri" w:hAnsi="Calibri"/>
                <w:sz w:val="22"/>
              </w:rPr>
              <w:t>Open Market Sale (Indirect — By Trust)</w:t>
            </w:r>
          </w:p>
        </w:tc>
        <w:tc>
          <w:tcPr>
            <w:tcW w:type="dxa" w:w="1234"/>
          </w:tcPr>
          <w:p>
            <w:r>
              <w:rPr>
                <w:rFonts w:ascii="Calibri" w:hAnsi="Calibri"/>
                <w:sz w:val="22"/>
              </w:rPr>
              <w:t>195,000 shares</w:t>
            </w:r>
          </w:p>
        </w:tc>
        <w:tc>
          <w:tcPr>
            <w:tcW w:type="dxa" w:w="1234"/>
          </w:tcPr>
          <w:p>
            <w:r>
              <w:rPr>
                <w:rFonts w:ascii="Calibri" w:hAnsi="Calibri"/>
                <w:sz w:val="22"/>
              </w:rPr>
              <w:t>May 6, 2026</w:t>
            </w:r>
          </w:p>
        </w:tc>
        <w:tc>
          <w:tcPr>
            <w:tcW w:type="dxa" w:w="1234"/>
          </w:tcPr>
          <w:p>
            <w:r>
              <w:rPr>
                <w:rFonts w:ascii="Calibri" w:hAnsi="Calibri"/>
                <w:sz w:val="22"/>
              </w:rPr>
              <w:t>658,045 shares</w:t>
            </w:r>
          </w:p>
        </w:tc>
        <w:tc>
          <w:tcPr>
            <w:tcW w:type="dxa" w:w="1234"/>
          </w:tcPr>
          <w:p>
            <w:r>
              <w:rPr>
                <w:rFonts w:ascii="Calibri" w:hAnsi="Calibri"/>
                <w:sz w:val="22"/>
              </w:rPr>
              <w:t>Discretionary; no 10b5-1 plan; indirect ownership through trust; likely portfolio diversification post-Hess acquisition</w:t>
            </w:r>
          </w:p>
        </w:tc>
      </w:tr>
      <w:tr>
        <w:tc>
          <w:tcPr>
            <w:tcW w:type="dxa" w:w="1234"/>
          </w:tcPr>
          <w:p>
            <w:r>
              <w:rPr>
                <w:rFonts w:ascii="Calibri" w:hAnsi="Calibri"/>
                <w:sz w:val="22"/>
              </w:rPr>
              <w:t>HESS, JOHN B</w:t>
            </w:r>
          </w:p>
        </w:tc>
        <w:tc>
          <w:tcPr>
            <w:tcW w:type="dxa" w:w="1234"/>
          </w:tcPr>
          <w:p>
            <w:r>
              <w:rPr>
                <w:rFonts w:ascii="Calibri" w:hAnsi="Calibri"/>
                <w:sz w:val="22"/>
              </w:rPr>
              <w:t>Director</w:t>
            </w:r>
          </w:p>
        </w:tc>
        <w:tc>
          <w:tcPr>
            <w:tcW w:type="dxa" w:w="1234"/>
          </w:tcPr>
          <w:p>
            <w:r>
              <w:rPr>
                <w:rFonts w:ascii="Calibri" w:hAnsi="Calibri"/>
                <w:sz w:val="22"/>
              </w:rPr>
              <w:t>Open Market Sale (Indirect — By Trust)</w:t>
            </w:r>
          </w:p>
        </w:tc>
        <w:tc>
          <w:tcPr>
            <w:tcW w:type="dxa" w:w="1234"/>
          </w:tcPr>
          <w:p>
            <w:r>
              <w:rPr>
                <w:rFonts w:ascii="Calibri" w:hAnsi="Calibri"/>
                <w:sz w:val="22"/>
              </w:rPr>
              <w:t>380,000 shares</w:t>
            </w:r>
          </w:p>
        </w:tc>
        <w:tc>
          <w:tcPr>
            <w:tcW w:type="dxa" w:w="1234"/>
          </w:tcPr>
          <w:p>
            <w:r>
              <w:rPr>
                <w:rFonts w:ascii="Calibri" w:hAnsi="Calibri"/>
                <w:sz w:val="22"/>
              </w:rPr>
              <w:t>May 20, 2026</w:t>
            </w:r>
          </w:p>
        </w:tc>
        <w:tc>
          <w:tcPr>
            <w:tcW w:type="dxa" w:w="1234"/>
          </w:tcPr>
          <w:p>
            <w:r>
              <w:rPr>
                <w:rFonts w:ascii="Calibri" w:hAnsi="Calibri"/>
                <w:sz w:val="22"/>
              </w:rPr>
              <w:t>278,045 shares</w:t>
            </w:r>
          </w:p>
        </w:tc>
        <w:tc>
          <w:tcPr>
            <w:tcW w:type="dxa" w:w="1234"/>
          </w:tcPr>
          <w:p>
            <w:r>
              <w:rPr>
                <w:rFonts w:ascii="Calibri" w:hAnsi="Calibri"/>
                <w:sz w:val="22"/>
              </w:rPr>
              <w:t>Discretionary; no 10b5-1 plan; indirect ownership through trust; second large sale within 2 weeks of Q1 earnings</w:t>
            </w:r>
          </w:p>
        </w:tc>
      </w:tr>
    </w:tbl>
    <w:p>
      <w:r>
        <w:rPr>
          <w:rFonts w:ascii="Calibri" w:hAnsi="Calibri"/>
          <w:i/>
          <w:color w:val="525866"/>
          <w:sz w:val="22"/>
        </w:rPr>
        <w:t>Source: SEC Form 4 Filings (Insider Transaction Data). No other CVX insider open-market buys or sells were filed in the May 1 – July 30, 2026 window.</w:t>
      </w:r>
    </w:p>
    <w:p>
      <w:r>
        <w:rPr>
          <w:rFonts w:ascii="Calibri" w:hAnsi="Calibri"/>
          <w:b/>
          <w:color w:val="525866"/>
          <w:sz w:val="22"/>
        </w:rPr>
        <w:t xml:space="preserve">Assessment: </w:t>
      </w:r>
      <w:r>
        <w:rPr>
          <w:rFonts w:ascii="Calibri" w:hAnsi="Calibri"/>
          <w:color w:val="525866"/>
          <w:sz w:val="22"/>
        </w:rPr>
        <w:t>The two Hess sales (575,000 shares combined, ~$107M at ~$186 avg price) are the only insider activity in the period. Both are discretionary (no 10b5-1 plan), which is worth noting, but the indirect trust structure and the context of a former CEO diversifying a concentrated position built over decades at Hess Corporation makes these sales less informative as a signal about CVX's near-term outlook. No other officers or directors have transacted. The absence of any open-market buying by CVX insiders at prices ranging from $165–$197 is a mild negative signal, though not unusual for a large-cap company with strict trading windows.</w:t>
      </w:r>
    </w:p>
    <w:p>
      <w:r>
        <w:br w:type="page"/>
      </w:r>
    </w:p>
    <w:p>
      <w:pPr>
        <w:pStyle w:val="Heading2"/>
      </w:pPr>
      <w:r>
        <w:rPr>
          <w:rFonts w:ascii="Calibri" w:hAnsi="Calibri"/>
          <w:b/>
          <w:color w:val="3B4259"/>
          <w:sz w:val="28"/>
        </w:rPr>
        <w:t>9. Key Questions for Management</w:t>
      </w:r>
    </w:p>
    <w:p>
      <w:pPr>
        <w:pStyle w:val="ListNumber"/>
        <w:ind w:left="360" w:hanging="360"/>
      </w:pPr>
      <w:r>
        <w:rPr>
          <w:rFonts w:ascii="Calibri" w:hAnsi="Calibri"/>
          <w:b/>
          <w:color w:val="525866"/>
          <w:sz w:val="22"/>
        </w:rPr>
        <w:t>Project Kilby FID Timeline &amp; Economics:</w:t>
      </w:r>
      <w:r>
        <w:rPr>
          <w:rFonts w:ascii="Calibri" w:hAnsi="Calibri"/>
          <w:color w:val="525866"/>
          <w:sz w:val="22"/>
        </w:rPr>
        <w:t xml:space="preserve"> Now that the definitive 20-year agreement with Microsoft is signed, what is the specific FID timeline, expected capital cost, and projected return profile for Project Kilby? How does the deal structure (customer bears commodity price risk; CVX earns capital recovery + operating cost recovery) translate into a specific IRR or cash-on-cash return?</w:t>
      </w:r>
    </w:p>
    <w:p>
      <w:pPr>
        <w:pStyle w:val="ListNumber"/>
        <w:ind w:left="360" w:hanging="360"/>
      </w:pPr>
      <w:r>
        <w:rPr>
          <w:rFonts w:ascii="Calibri" w:hAnsi="Calibri"/>
          <w:b/>
          <w:color w:val="525866"/>
          <w:sz w:val="22"/>
        </w:rPr>
        <w:t>Downstream Integration Value Capture — Q2 Magnitude:</w:t>
      </w:r>
      <w:r>
        <w:rPr>
          <w:rFonts w:ascii="Calibri" w:hAnsi="Calibri"/>
          <w:color w:val="525866"/>
          <w:sz w:val="22"/>
        </w:rPr>
        <w:t xml:space="preserve"> Management guided Q2 global equity crude throughput to more than double YoY to 40%. Can you quantify the incremental earnings contribution from this integration advantage in Q2 vs. a 'normal' market environment? Is this level of equity crude throughput sustainable into Q3 if Hormuz remains disrupted?</w:t>
      </w:r>
    </w:p>
    <w:p>
      <w:pPr>
        <w:pStyle w:val="ListNumber"/>
        <w:ind w:left="360" w:hanging="360"/>
      </w:pPr>
      <w:r>
        <w:rPr>
          <w:rFonts w:ascii="Calibri" w:hAnsi="Calibri"/>
          <w:b/>
          <w:color w:val="525866"/>
          <w:sz w:val="22"/>
        </w:rPr>
        <w:t>Iraq Investment — Capital Commitment &amp; Production Timeline:</w:t>
      </w:r>
      <w:r>
        <w:rPr>
          <w:rFonts w:ascii="Calibri" w:hAnsi="Calibri"/>
          <w:color w:val="525866"/>
          <w:sz w:val="22"/>
        </w:rPr>
        <w:t xml:space="preserve"> The preliminary Iraq deals were signed July 17. What is the expected capital commitment, production timeline, and risk-adjusted return for the two Iraqi oil fields? How does the Iraq-Syria pipeline consortium fit into CVX's broader capital allocation framework?</w:t>
      </w:r>
    </w:p>
    <w:p>
      <w:pPr>
        <w:pStyle w:val="ListNumber"/>
        <w:ind w:left="360" w:hanging="360"/>
      </w:pPr>
      <w:r>
        <w:rPr>
          <w:rFonts w:ascii="Calibri" w:hAnsi="Calibri"/>
          <w:b/>
          <w:color w:val="525866"/>
          <w:sz w:val="22"/>
        </w:rPr>
        <w:t>Free Cash Flow Quality — Timing Effects &amp; Working Capital:</w:t>
      </w:r>
      <w:r>
        <w:rPr>
          <w:rFonts w:ascii="Calibri" w:hAnsi="Calibri"/>
          <w:color w:val="525866"/>
          <w:sz w:val="22"/>
        </w:rPr>
        <w:t xml:space="preserve"> Q1 reported FCF was -$1.5B due to ~$7.7B of timing effects. Management guided ~$1B of paper positions to unwind in Q2. What is the actual Q2 reported FCF, and how much of the improvement is 'real' vs. timing reversal? What is the working capital trajectory for H2?</w:t>
      </w:r>
    </w:p>
    <w:p>
      <w:pPr>
        <w:pStyle w:val="ListNumber"/>
        <w:ind w:left="360" w:hanging="360"/>
      </w:pPr>
      <w:r>
        <w:rPr>
          <w:rFonts w:ascii="Calibri" w:hAnsi="Calibri"/>
          <w:b/>
          <w:color w:val="525866"/>
          <w:sz w:val="22"/>
        </w:rPr>
        <w:t>TCO Concession Extension — Status &amp; Timeline:</w:t>
      </w:r>
      <w:r>
        <w:rPr>
          <w:rFonts w:ascii="Calibri" w:hAnsi="Calibri"/>
          <w:color w:val="525866"/>
          <w:sz w:val="22"/>
        </w:rPr>
        <w:t xml:space="preserve"> The current TCO concession runs through 2033. Extension discussions have been underway for ~1 year. What is the current status, and is there a target timeline for resolution? What are the key remaining issues, and how might the extension terms affect CVX's long-term Kazakhstan capital allocation?</w:t>
      </w:r>
    </w:p>
    <w:p>
      <w:pPr>
        <w:pStyle w:val="ListNumber"/>
        <w:ind w:left="360" w:hanging="360"/>
      </w:pPr>
      <w:r>
        <w:rPr>
          <w:rFonts w:ascii="Calibri" w:hAnsi="Calibri"/>
          <w:b/>
          <w:color w:val="525866"/>
          <w:sz w:val="22"/>
        </w:rPr>
        <w:t>Hormuz Scenario Planning — Q3 Guidance Sensitivity:</w:t>
      </w:r>
      <w:r>
        <w:rPr>
          <w:rFonts w:ascii="Calibri" w:hAnsi="Calibri"/>
          <w:color w:val="525866"/>
          <w:sz w:val="22"/>
        </w:rPr>
        <w:t xml:space="preserve"> If the Strait of Hormuz reopens in Q3, what is the estimated impact on CVX's downstream integration value capture and overall earnings? Has management stress-tested a scenario where Brent reverts to $70–75/bbl in H2 2026?</w:t>
      </w:r>
    </w:p>
    <w:p>
      <w:pPr>
        <w:pStyle w:val="ListNumber"/>
        <w:ind w:left="360" w:hanging="360"/>
      </w:pPr>
      <w:r>
        <w:rPr>
          <w:rFonts w:ascii="Calibri" w:hAnsi="Calibri"/>
          <w:b/>
          <w:color w:val="525866"/>
          <w:sz w:val="22"/>
        </w:rPr>
        <w:t>Venezuela Receivables &amp; Capital Deployment:</w:t>
      </w:r>
      <w:r>
        <w:rPr>
          <w:rFonts w:ascii="Calibri" w:hAnsi="Calibri"/>
          <w:color w:val="525866"/>
          <w:sz w:val="22"/>
        </w:rPr>
        <w:t xml:space="preserve"> Management guided the ~$1.5B receivable balance to be fully paid off in 2027. What is the current balance, and what is the expected pace of recovery in H2 2026? Once recovered, what is the capital deployment plan for Venezuela?</w:t>
      </w:r>
    </w:p>
    <w:p>
      <w:pPr>
        <w:pStyle w:val="ListNumber"/>
        <w:ind w:left="360" w:hanging="360"/>
      </w:pPr>
      <w:r>
        <w:rPr>
          <w:rFonts w:ascii="Calibri" w:hAnsi="Calibri"/>
          <w:b/>
          <w:color w:val="525866"/>
          <w:sz w:val="22"/>
        </w:rPr>
        <w:t>Structural Cost Reductions — Run Rate &amp; Durability:</w:t>
      </w:r>
      <w:r>
        <w:rPr>
          <w:rFonts w:ascii="Calibri" w:hAnsi="Calibri"/>
          <w:color w:val="525866"/>
          <w:sz w:val="22"/>
        </w:rPr>
        <w:t xml:space="preserve"> With &gt;60% of the $3–4B target from durable efficiency gains, what is the current annualized run rate of savings achieved? Are there any one-time items in Q2 that could distort the reported cost structure?</w:t>
      </w:r>
    </w:p>
    <w:p>
      <w:pPr>
        <w:pStyle w:val="ListNumber"/>
        <w:ind w:left="360" w:hanging="360"/>
      </w:pPr>
      <w:r>
        <w:rPr>
          <w:rFonts w:ascii="Calibri" w:hAnsi="Calibri"/>
          <w:b/>
          <w:color w:val="525866"/>
          <w:sz w:val="22"/>
        </w:rPr>
        <w:t>Shareholder Returns — Buyback Pace &amp; Balance Sheet Accumulation:</w:t>
      </w:r>
      <w:r>
        <w:rPr>
          <w:rFonts w:ascii="Calibri" w:hAnsi="Calibri"/>
          <w:color w:val="525866"/>
          <w:sz w:val="22"/>
        </w:rPr>
        <w:t xml:space="preserve"> Management stated surplus cash above the four financial priorities would go onto the balance sheet near-term before returning to shareholders. Given Q2's likely strong FCF, has the balance sheet accumulation strategy changed? Is there a trigger level for accelerating buybacks above the $2.5–3.0B/quarter range?</w:t>
      </w:r>
    </w:p>
    <w:p>
      <w:pPr>
        <w:pStyle w:val="ListNumber"/>
        <w:ind w:left="360" w:hanging="360"/>
      </w:pPr>
      <w:r>
        <w:rPr>
          <w:rFonts w:ascii="Calibri" w:hAnsi="Calibri"/>
          <w:b/>
          <w:color w:val="525866"/>
          <w:sz w:val="22"/>
        </w:rPr>
        <w:t>Chemical Surfactant Technology Licensing — Revenue Potential:</w:t>
      </w:r>
      <w:r>
        <w:rPr>
          <w:rFonts w:ascii="Calibri" w:hAnsi="Calibri"/>
          <w:color w:val="525866"/>
          <w:sz w:val="22"/>
        </w:rPr>
        <w:t xml:space="preserve"> The July 8 announcement to license the surfactant technology to ZL Chemicals is a new revenue stream. What is the expected royalty/licensing revenue contribution, and how does broader adoption by third-party operators affect CVX's royalty income from Permian wells it doesn't operate?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