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-earnings-predictions--2026-07-31"/>
    <w:p>
      <w:pPr>
        <w:pStyle w:val="Heading1"/>
      </w:pPr>
      <w:r>
        <w:t xml:space="preserve">D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0.78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CVOW offshore wind % complete (de-risking update)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~80% complete vs. cons ~78% (Q1 was &gt;75%)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Data-center contracted capacity (electric service agreements)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 GW vs. cons ~10.4 GW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 ~</w:t>
            </w:r>
            <m:oMath>
              <m:r>
                <m:t>3.57</m:t>
              </m:r>
              <m:r>
                <m:t>m</m:t>
              </m:r>
              <m:r>
                <m:t>i</m:t>
              </m:r>
              <m:r>
                <m:t>d</m:t>
              </m:r>
              <m:r>
                <m:rPr>
                  <m:sty m:val="p"/>
                </m:rPr>
                <m:t>(</m:t>
              </m:r>
            </m:oMath>
            <w:r>
              <w:t xml:space="preserve">3.45-</w:t>
            </w:r>
            <m:oMath>
              <m:r>
                <m:t>3.69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3.57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growth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~6% (5-7% midpoint) vs. cons ~6% (2025-2029)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CVOW total project budget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11.4B (project life); ~$200M tariff risk vs. PJM transmission offset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FFO/debt (credit metric)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&gt;15% vs. cons ~15% target (FY2026), no equity ramp needed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Millstone recontracting (CT DEEP zero-carbon RFP)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RFP decision expected ~2H26 vs. cons not in plan ~0 (through Aug-2029 PPA); upside optionality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(FADE)</w:t>
            </w:r>
          </w:p>
        </w:tc>
        <w:tc>
          <w:tcPr/>
          <w:p>
            <w:pPr>
              <w:pStyle w:val="Compact"/>
            </w:pPr>
            <w:r>
              <w:t xml:space="preserve">Seasonally small quarter with guidance only reaffirmed (no raise) into a stock that has already re-rated ~+18% YTD to the low-$70s, so the bar is high and there is little out-period fuel: flat estimates mean no upward revision momentum. Clean CVOW/data-center commentary limits downside, but with valuation stretched and no numbers catalyst, an initial muted-to-negative reaction likely bleeds slightly lower as the tape digests a qualitative-only print.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2026-07-31T00:39:43Z</dcterms:created>
  <dcterms:modified xsi:type="dcterms:W3CDTF">2026-07-31T00:39:43Z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