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Dominion Energy (D) to build this earnings preview. Let me start by pulling recent filings, transcripts, and news.Let me read the most recent earnings call transcript and release, and pull recent news and filings.Let me pull the Q1 earnings release for guidance specifics, recent D-specific news, and stock performance.Let me get any recent D-specific news and analyst actions.I have what I need. Here's the earnings preview.</w:t>
      </w:r>
    </w:p>
    <w:p>
      <w:r>
        <w:pict>
          <v:rect style="width:0;height:1.5pt" o:hralign="center" o:hrstd="t" o:hr="t"/>
        </w:pict>
      </w:r>
    </w:p>
    <w:bookmarkStart w:id="22" w:name="X6c4280e1821e4839aeaaf3bd0dc7ebd7ab50374"/>
    <w:p>
      <w:pPr>
        <w:pStyle w:val="Heading1"/>
      </w:pPr>
      <w:r>
        <w:t xml:space="preserve">Dominion Energy (D) — Q2 2026 Earnings Preview</w:t>
      </w:r>
    </w:p>
    <w:bookmarkStart w:id="9" w:name="X7dc2c28f76ac13e1e7e41f411039041bb6a7fe9"/>
    <w:p>
      <w:pPr>
        <w:pStyle w:val="Heading3"/>
      </w:pPr>
      <w:r>
        <w:t xml:space="preserve">Report date: Friday, July 31, 2026 | 2026Q2 Earnings Call</w:t>
      </w:r>
    </w:p>
    <w:bookmarkEnd w:id="9"/>
    <w:bookmarkStart w:id="10" w:name="the-one-line-setup"/>
    <w:p>
      <w:pPr>
        <w:pStyle w:val="Heading2"/>
      </w:pPr>
      <w:r>
        <w:t xml:space="preserve">The one-line setup</w:t>
      </w:r>
    </w:p>
    <w:p>
      <w:pPr>
        <w:pStyle w:val="FirstParagraph"/>
      </w:pPr>
      <w:r>
        <w:t xml:space="preserve">Dominion enters this print as a "show-me" story that is increasingly working. Management has spent two-plus years rebuilding credibility around a simple three-part scorecard —</w:t>
      </w:r>
      <w:r>
        <w:t xml:space="preserve"> </w:t>
      </w:r>
      <w:r>
        <w:rPr>
          <w:b/>
          <w:bCs/>
        </w:rPr>
        <w:t xml:space="preserve">hit the numbers, de-risk offshore wind, and land constructive regulatory outcomes</w:t>
      </w:r>
      <w:r>
        <w:t xml:space="preserve"> </w:t>
      </w:r>
      <w:r>
        <w:t xml:space="preserve">— and the stock has re-rated meaningfully in 2026 as that execution has held. Q2 is unlikely to be about the headline EPS (a seasonally small quarter) and much more about</w:t>
      </w:r>
      <w:r>
        <w:t xml:space="preserve"> </w:t>
      </w:r>
      <w:r>
        <w:rPr>
          <w:b/>
          <w:bCs/>
        </w:rPr>
        <w:t xml:space="preserve">CVOW construction cadence, the Millstone recontracting timeline, data-center demand, and any early signal on capital-plan upside</w:t>
      </w:r>
      <w:r>
        <w:t xml:space="preserve"> </w:t>
      </w:r>
      <w:r>
        <w:t xml:space="preserve">from Virginia battery storage.</w:t>
      </w:r>
    </w:p>
    <w:p>
      <w:r>
        <w:pict>
          <v:rect style="width:0;height:1.5pt" o:hralign="center" o:hrstd="t" o:hr="t"/>
        </w:pict>
      </w:r>
    </w:p>
    <w:bookmarkEnd w:id="10"/>
    <w:bookmarkStart w:id="11" w:name="what-to-know-on-the-headline-numbers"/>
    <w:p>
      <w:pPr>
        <w:pStyle w:val="Heading2"/>
      </w:pPr>
      <w:r>
        <w:t xml:space="preserve">What to know on the headline numbers</w:t>
      </w:r>
    </w:p>
    <w:p>
      <w:pPr>
        <w:pStyle w:val="Compact"/>
        <w:numPr>
          <w:ilvl w:val="0"/>
          <w:numId w:val="1001"/>
        </w:numPr>
      </w:pPr>
      <w:r>
        <w:rPr>
          <w:b/>
          <w:bCs/>
        </w:rPr>
        <w:t xml:space="preserve">Guidance to be affirmed, not raised (most likely).</w:t>
      </w:r>
      <w:r>
        <w:t xml:space="preserve"> </w:t>
      </w:r>
      <w:r>
        <w:t xml:space="preserve">On the Q1 call Dominion reaffirmed</w:t>
      </w:r>
      <w:r>
        <w:t xml:space="preserve"> </w:t>
      </w:r>
      <w:r>
        <w:rPr>
          <w:b/>
          <w:bCs/>
        </w:rPr>
        <w:t xml:space="preserve">full-year 2026 operating EPS guidance of</w:t>
      </w:r>
      <w:r>
        <w:rPr>
          <w:b/>
          <w:bCs/>
        </w:rPr>
        <w:t xml:space="preserve"> </w:t>
      </w:r>
      <m:oMath>
        <m:r>
          <m:t>3.45</m:t>
        </m:r>
        <m:r>
          <m:rPr>
            <m:sty m:val="p"/>
          </m:rPr>
          <m:t>–</m:t>
        </m:r>
      </m:oMath>
      <w:r>
        <w:rPr>
          <w:b/>
          <w:bCs/>
        </w:rPr>
        <w:t xml:space="preserve">3.69 (midpoint $3.57)</w:t>
      </w:r>
      <w:r>
        <w:t xml:space="preserve"> </w:t>
      </w:r>
      <w:r>
        <w:t xml:space="preserve">and all financial guidance — including credit, dividend, and the long-term</w:t>
      </w:r>
      <w:r>
        <w:t xml:space="preserve"> </w:t>
      </w:r>
      <w:r>
        <w:rPr>
          <w:b/>
          <w:bCs/>
        </w:rPr>
        <w:t xml:space="preserve">5%–7% growth target (guiding to the midpoint, with a bias to the upper half starting in 2028)</w:t>
      </w:r>
      <w:r>
        <w:t xml:space="preserve">. Expect the same posture here; a raise would be a genuine surprise.</w:t>
      </w:r>
    </w:p>
    <w:p>
      <w:pPr>
        <w:pStyle w:val="Compact"/>
        <w:numPr>
          <w:ilvl w:val="0"/>
          <w:numId w:val="1001"/>
        </w:numPr>
      </w:pPr>
      <w:r>
        <w:rPr>
          <w:b/>
          <w:bCs/>
        </w:rPr>
        <w:t xml:space="preserve">The relevant year-ago comp is soft.</w:t>
      </w:r>
      <w:r>
        <w:t xml:space="preserve"> </w:t>
      </w:r>
      <w:r>
        <w:t xml:space="preserve">Q2 is a seasonally light quarter —</w:t>
      </w:r>
      <w:r>
        <w:t xml:space="preserve"> </w:t>
      </w:r>
      <w:r>
        <w:rPr>
          <w:b/>
          <w:bCs/>
        </w:rPr>
        <w:t xml:space="preserve">Q2 2025 operating EPS was $0.75</w:t>
      </w:r>
      <w:r>
        <w:t xml:space="preserve"> </w:t>
      </w:r>
      <w:r>
        <w:t xml:space="preserve">(GAAP</w:t>
      </w:r>
      <w:r>
        <w:t xml:space="preserve"> </w:t>
      </w:r>
      <m:oMath>
        <m:r>
          <m:t>0.88</m:t>
        </m:r>
        <m:r>
          <m:rPr>
            <m:sty m:val="p"/>
          </m:rPr>
          <m:t>)</m:t>
        </m:r>
        <m:r>
          <m:rPr>
            <m:sty m:val="p"/>
          </m:rPr>
          <m:t>.</m:t>
        </m:r>
        <m:r>
          <m:t>Q</m:t>
        </m:r>
        <m:r>
          <m:t>1</m:t>
        </m:r>
        <m:r>
          <m:t>2026</m:t>
        </m:r>
        <m:r>
          <m:t>c</m:t>
        </m:r>
        <m:r>
          <m:t>a</m:t>
        </m:r>
        <m:r>
          <m:t>m</m:t>
        </m:r>
        <m:r>
          <m:t>e</m:t>
        </m:r>
        <m:r>
          <m:t>i</m:t>
        </m:r>
        <m:r>
          <m:t>n</m:t>
        </m:r>
        <m:r>
          <m:t>a</m:t>
        </m:r>
        <m:r>
          <m:t>t</m:t>
        </m:r>
        <m:r>
          <m:rPr>
            <m:sty m:val="p"/>
          </m:rPr>
          <m:t>*</m:t>
        </m:r>
        <m:r>
          <m:rPr>
            <m:sty m:val="p"/>
          </m:rPr>
          <m:t>*</m:t>
        </m:r>
      </m:oMath>
      <w:r>
        <w:t xml:space="preserve">0.95 operating** (vs. $0.93), so the year is off to a solid start.</w:t>
      </w:r>
    </w:p>
    <w:p>
      <w:pPr>
        <w:pStyle w:val="Compact"/>
        <w:numPr>
          <w:ilvl w:val="0"/>
          <w:numId w:val="1001"/>
        </w:numPr>
      </w:pPr>
      <w:r>
        <w:rPr>
          <w:b/>
          <w:bCs/>
        </w:rPr>
        <w:t xml:space="preserve">Watch the GAAP-vs-operating gap.</w:t>
      </w:r>
      <w:r>
        <w:t xml:space="preserve"> </w:t>
      </w:r>
      <w:r>
        <w:t xml:space="preserve">Q1 GAAP was only $0.69 vs. $0.95 operating, driven by nuclear decommissioning trust marks, hedging mark-to-market, a solar impairment, and severe-weather items. Expect similar noise; focus on operating.</w:t>
      </w:r>
    </w:p>
    <w:p>
      <w:pPr>
        <w:pStyle w:val="Compact"/>
        <w:numPr>
          <w:ilvl w:val="0"/>
          <w:numId w:val="1001"/>
        </w:numPr>
      </w:pPr>
      <w:r>
        <w:rPr>
          <w:b/>
          <w:bCs/>
        </w:rPr>
        <w:t xml:space="preserve">Segment mix:</w:t>
      </w:r>
      <w:r>
        <w:t xml:space="preserve"> </w:t>
      </w:r>
      <w:r>
        <w:t xml:space="preserve">Q1 strength was all Dominion Energy Virginia (</w:t>
      </w:r>
      <m:oMath>
        <m:r>
          <m:t>0.76</m:t>
        </m:r>
        <m:r>
          <m:rPr>
            <m:sty m:val="p"/>
          </m:rPr>
          <m:t>,</m:t>
        </m:r>
        <m:r>
          <m:rPr>
            <m:sty m:val="p"/>
          </m:rPr>
          <m:t>+</m:t>
        </m:r>
      </m:oMath>
      <w:r>
        <w:t xml:space="preserve">0.10 y/y) on 2025 Biennial Review impacts and rider equity returns; South Carolina (DESC) was softer, and Corporate/Other was a drag on higher interest expense. Interest costs are a rising headwind (Q1 interest was $561M vs. $481M a year ago) as the capital program scales.</w:t>
      </w:r>
    </w:p>
    <w:p>
      <w:r>
        <w:pict>
          <v:rect style="width:0;height:1.5pt" o:hralign="center" o:hrstd="t" o:hr="t"/>
        </w:pict>
      </w:r>
    </w:p>
    <w:bookmarkEnd w:id="11"/>
    <w:bookmarkStart w:id="17" w:name="Xfdf8d3b54b4d93d14ed7b3886d8fe3203174705"/>
    <w:p>
      <w:pPr>
        <w:pStyle w:val="Heading2"/>
      </w:pPr>
      <w:r>
        <w:t xml:space="preserve">The five things that actually move the stock</w:t>
      </w:r>
    </w:p>
    <w:bookmarkStart w:id="12" w:name="X0d4be926f9ae88345493f85d24ee648da6f92ff"/>
    <w:p>
      <w:pPr>
        <w:pStyle w:val="Heading3"/>
      </w:pPr>
      <w:r>
        <w:t xml:space="preserve">1) Coastal Virginia Offshore Wind (CVOW) — the central de-risking catalyst</w:t>
      </w:r>
    </w:p>
    <w:p>
      <w:pPr>
        <w:pStyle w:val="FirstParagraph"/>
      </w:pPr>
      <w:r>
        <w:t xml:space="preserve">This remains the swing factor for sentiment. As of the Q1 update:</w:t>
      </w:r>
    </w:p>
    <w:p>
      <w:pPr>
        <w:pStyle w:val="Compact"/>
        <w:numPr>
          <w:ilvl w:val="0"/>
          <w:numId w:val="1002"/>
        </w:numPr>
      </w:pPr>
      <w:r>
        <w:t xml:space="preserve">Project</w:t>
      </w:r>
      <w:r>
        <w:t xml:space="preserve"> </w:t>
      </w:r>
      <w:r>
        <w:rPr>
          <w:b/>
          <w:bCs/>
        </w:rPr>
        <w:t xml:space="preserve">&gt;75% complete</w:t>
      </w:r>
      <w:r>
        <w:t xml:space="preserve">, budget **</w:t>
      </w:r>
      <m:oMath>
        <m:r>
          <m:t>11.4</m:t>
        </m:r>
        <m:r>
          <m:t>B</m:t>
        </m:r>
        <m:r>
          <m:rPr>
            <m:sty m:val="p"/>
          </m:rPr>
          <m:t>*</m:t>
        </m:r>
        <m:r>
          <m:rPr>
            <m:sty m:val="p"/>
          </m:rPr>
          <m:t>*</m:t>
        </m:r>
        <m:r>
          <m:rPr>
            <m:sty m:val="p"/>
          </m:rPr>
          <m:t>(</m:t>
        </m:r>
        <m:r>
          <m:t> </m:t>
        </m:r>
      </m:oMath>
      <w:r>
        <w:t xml:space="preserve">100M lower than prior), unused contingency</w:t>
      </w:r>
      <w:r>
        <w:t xml:space="preserve"> </w:t>
      </w:r>
      <w:r>
        <w:rPr>
          <w:b/>
          <w:bCs/>
        </w:rPr>
        <w:t xml:space="preserve">$123M</w:t>
      </w:r>
      <w:r>
        <w:t xml:space="preserve">.</w:t>
      </w:r>
    </w:p>
    <w:p>
      <w:pPr>
        <w:pStyle w:val="Compact"/>
        <w:numPr>
          <w:ilvl w:val="0"/>
          <w:numId w:val="1002"/>
        </w:numPr>
      </w:pPr>
      <w:r>
        <w:rPr>
          <w:b/>
          <w:bCs/>
        </w:rPr>
        <w:t xml:space="preserve">First Power delivered in March 2026</w:t>
      </w:r>
      <w:r>
        <w:t xml:space="preserve">, on the original timeline;</w:t>
      </w:r>
      <w:r>
        <w:t xml:space="preserve"> </w:t>
      </w:r>
      <w:r>
        <w:rPr>
          <w:b/>
          <w:bCs/>
        </w:rPr>
        <w:t xml:space="preserve">9 turbines</w:t>
      </w:r>
      <w:r>
        <w:t xml:space="preserve"> </w:t>
      </w:r>
      <w:r>
        <w:t xml:space="preserve">installed and cadence improving to</w:t>
      </w:r>
      <w:r>
        <w:t xml:space="preserve"> </w:t>
      </w:r>
      <w:r>
        <w:rPr>
          <w:b/>
          <w:bCs/>
        </w:rPr>
        <w:t xml:space="preserve">~2 days/turbine</w:t>
      </w:r>
      <w:r>
        <w:t xml:space="preserve"> </w:t>
      </w:r>
      <w:r>
        <w:t xml:space="preserve">on the most recent four.</w:t>
      </w:r>
    </w:p>
    <w:p>
      <w:pPr>
        <w:pStyle w:val="Compact"/>
        <w:numPr>
          <w:ilvl w:val="0"/>
          <w:numId w:val="1002"/>
        </w:numPr>
      </w:pPr>
      <w:r>
        <w:t xml:space="preserve">Timeline affirmed:</w:t>
      </w:r>
      <w:r>
        <w:t xml:space="preserve"> </w:t>
      </w:r>
      <w:r>
        <w:rPr>
          <w:b/>
          <w:bCs/>
        </w:rPr>
        <w:t xml:space="preserve">majority of turbines in service by end-2026, remainder by June 2027</w:t>
      </w:r>
      <w:r>
        <w:t xml:space="preserve">.</w:t>
      </w:r>
    </w:p>
    <w:p>
      <w:pPr>
        <w:pStyle w:val="Compact"/>
        <w:numPr>
          <w:ilvl w:val="0"/>
          <w:numId w:val="1002"/>
        </w:numPr>
      </w:pPr>
      <w:r>
        <w:rPr>
          <w:b/>
          <w:bCs/>
        </w:rPr>
        <w:t xml:space="preserve">Watch two cost swing items:</w:t>
      </w:r>
      <w:r>
        <w:t xml:space="preserve"> </w:t>
      </w:r>
      <w:r>
        <w:t xml:space="preserve">updated</w:t>
      </w:r>
      <w:r>
        <w:t xml:space="preserve"> </w:t>
      </w:r>
      <w:r>
        <w:rPr>
          <w:b/>
          <w:bCs/>
        </w:rPr>
        <w:t xml:space="preserve">Section 232 steel/aluminum tariffs (~$200M potential headwind)</w:t>
      </w:r>
      <w:r>
        <w:t xml:space="preserve">, potentially offset by a</w:t>
      </w:r>
      <w:r>
        <w:t xml:space="preserve"> </w:t>
      </w:r>
      <w:r>
        <w:rPr>
          <w:b/>
          <w:bCs/>
        </w:rPr>
        <w:t xml:space="preserve">reallocation/reduction of PJM transmission network-upgrade costs</w:t>
      </w:r>
      <w:r>
        <w:t xml:space="preserve">. Management framed these as roughly offsetting — a clean update here would be a positive.</w:t>
      </w:r>
    </w:p>
    <w:p>
      <w:pPr>
        <w:pStyle w:val="Compact"/>
        <w:numPr>
          <w:ilvl w:val="0"/>
          <w:numId w:val="1002"/>
        </w:numPr>
      </w:pPr>
      <w:r>
        <w:rPr>
          <w:b/>
          <w:bCs/>
        </w:rPr>
        <w:t xml:space="preserve">Rule of thumb to remember:</w:t>
      </w:r>
      <w:r>
        <w:t xml:space="preserve"> </w:t>
      </w:r>
      <w:r>
        <w:t xml:space="preserve">each quarter of turbine installation beyond July 2027 adds</w:t>
      </w:r>
      <w:r>
        <w:t xml:space="preserve"> </w:t>
      </w:r>
      <m:oMath>
        <m:r>
          <m:t>150</m:t>
        </m:r>
        <m:r>
          <m:t>M</m:t>
        </m:r>
        <m:r>
          <m:rPr>
            <m:sty m:val="p"/>
          </m:rPr>
          <m:t>–</m:t>
        </m:r>
      </m:oMath>
      <w:r>
        <w:rPr>
          <w:b/>
          <w:bCs/>
        </w:rPr>
        <w:t xml:space="preserve">200M</w:t>
      </w:r>
      <w:r>
        <w:t xml:space="preserve"> </w:t>
      </w:r>
      <w:r>
        <w:t xml:space="preserve">to cost (partly borne by the 50% financing partner).</w:t>
      </w:r>
    </w:p>
    <w:p>
      <w:pPr>
        <w:pStyle w:val="FirstParagraph"/>
      </w:pPr>
      <w:r>
        <w:rPr>
          <w:b/>
          <w:bCs/>
        </w:rPr>
        <w:t xml:space="preserve">What to look for:</w:t>
      </w:r>
      <w:r>
        <w:t xml:space="preserve"> </w:t>
      </w:r>
      <w:r>
        <w:t xml:space="preserve">updated % complete, turbine count and install pace, weather performance (summer should help), and resolution of the tariff/transmission puts-and-takes. This is where the quarter can be won or lost on sentiment.</w:t>
      </w:r>
    </w:p>
    <w:bookmarkEnd w:id="12"/>
    <w:bookmarkStart w:id="13" w:name="Xf327e07c3d8241750828927fbb69764172eb332"/>
    <w:p>
      <w:pPr>
        <w:pStyle w:val="Heading3"/>
      </w:pPr>
      <w:r>
        <w:t xml:space="preserve">2) Data centers — demand durability amid a noisier PJM backdrop</w:t>
      </w:r>
    </w:p>
    <w:p>
      <w:pPr>
        <w:pStyle w:val="FirstParagraph"/>
      </w:pPr>
      <w:r>
        <w:t xml:space="preserve">Dominion's Virginia franchise (Loudoun County / "Data Center Alley") is arguably the best demand story in US utilities. Last update:</w:t>
      </w:r>
      <w:r>
        <w:t xml:space="preserve"> </w:t>
      </w:r>
      <w:r>
        <w:rPr>
          <w:b/>
          <w:bCs/>
        </w:rPr>
        <w:t xml:space="preserve">&gt;50 GW in various stages of contracting</w:t>
      </w:r>
      <w:r>
        <w:t xml:space="preserve">, with</w:t>
      </w:r>
      <w:r>
        <w:t xml:space="preserve"> </w:t>
      </w:r>
      <w:r>
        <w:rPr>
          <w:b/>
          <w:bCs/>
        </w:rPr>
        <w:t xml:space="preserve">~10.4 GW contracted under electric service agreements</w:t>
      </w:r>
      <w:r>
        <w:t xml:space="preserve">, and management said demand had</w:t>
      </w:r>
      <w:r>
        <w:t xml:space="preserve"> </w:t>
      </w:r>
      <w:r>
        <w:rPr>
          <w:b/>
          <w:bCs/>
        </w:rPr>
        <w:t xml:space="preserve">not waned at all</w:t>
      </w:r>
      <w:r>
        <w:t xml:space="preserve">.</w:t>
      </w:r>
    </w:p>
    <w:p>
      <w:pPr>
        <w:pStyle w:val="Compact"/>
        <w:numPr>
          <w:ilvl w:val="0"/>
          <w:numId w:val="1003"/>
        </w:numPr>
      </w:pPr>
      <w:r>
        <w:rPr>
          <w:b/>
          <w:bCs/>
        </w:rPr>
        <w:t xml:space="preserve">Watch for updated contracted GW</w:t>
      </w:r>
      <w:r>
        <w:t xml:space="preserve"> </w:t>
      </w:r>
      <w:r>
        <w:t xml:space="preserve">and any commentary on the "large load" provisions (approved in the 2025 biennial) that protect smaller customers from cost-shift/stranded-cost risk.</w:t>
      </w:r>
    </w:p>
    <w:p>
      <w:pPr>
        <w:pStyle w:val="Compact"/>
        <w:numPr>
          <w:ilvl w:val="0"/>
          <w:numId w:val="1003"/>
        </w:numPr>
      </w:pPr>
      <w:r>
        <w:rPr>
          <w:b/>
          <w:bCs/>
        </w:rPr>
        <w:t xml:space="preserve">New risk to probe:</w:t>
      </w:r>
      <w:r>
        <w:t xml:space="preserve"> </w:t>
      </w:r>
      <w:r>
        <w:t xml:space="preserve">In July 2026 the</w:t>
      </w:r>
      <w:r>
        <w:t xml:space="preserve"> </w:t>
      </w:r>
      <w:r>
        <w:rPr>
          <w:b/>
          <w:bCs/>
        </w:rPr>
        <w:t xml:space="preserve">PJM grid saw a ~3+ GW near-simultaneous data-center load drop</w:t>
      </w:r>
      <w:r>
        <w:t xml:space="preserve"> </w:t>
      </w:r>
      <w:r>
        <w:t xml:space="preserve">near Northern Virginia that took ~10 minutes to stabilize, spotlighting large-load volatility. Also relevant: the intensifying</w:t>
      </w:r>
      <w:r>
        <w:t xml:space="preserve"> </w:t>
      </w:r>
      <w:r>
        <w:rPr>
          <w:b/>
          <w:bCs/>
        </w:rPr>
        <w:t xml:space="preserve">affordability/political backdrop</w:t>
      </w:r>
      <w:r>
        <w:t xml:space="preserve"> </w:t>
      </w:r>
      <w:r>
        <w:t xml:space="preserve">(federal pledges to shield consumers from AI-driven bill increases). Expect analysts to press on reliability, interconnection, and rate-design protections.</w:t>
      </w:r>
    </w:p>
    <w:bookmarkEnd w:id="13"/>
    <w:bookmarkStart w:id="14" w:name="Xc653ae94c3ecbcf5eb716bd6fb19a70fc2056f3"/>
    <w:p>
      <w:pPr>
        <w:pStyle w:val="Heading3"/>
      </w:pPr>
      <w:r>
        <w:t xml:space="preserve">3) Millstone recontracting — a potential growth catalyst crystallizing this year</w:t>
      </w:r>
    </w:p>
    <w:p>
      <w:pPr>
        <w:pStyle w:val="FirstParagraph"/>
      </w:pPr>
      <w:r>
        <w:t xml:space="preserve">Dominion is the largest carbon-free generator in New England, and the current Millstone PPA covers a little over half of output</w:t>
      </w:r>
      <w:r>
        <w:t xml:space="preserve"> </w:t>
      </w:r>
      <w:r>
        <w:rPr>
          <w:b/>
          <w:bCs/>
        </w:rPr>
        <w:t xml:space="preserve">through August 2029</w:t>
      </w:r>
      <w:r>
        <w:t xml:space="preserve">. Key timeline from Q1:</w:t>
      </w:r>
    </w:p>
    <w:p>
      <w:pPr>
        <w:pStyle w:val="Compact"/>
        <w:numPr>
          <w:ilvl w:val="0"/>
          <w:numId w:val="1004"/>
        </w:numPr>
      </w:pPr>
      <w:r>
        <w:t xml:space="preserve">Bid submitted into Connecticut DEEP's Zero-Carbon RFP;</w:t>
      </w:r>
      <w:r>
        <w:t xml:space="preserve"> </w:t>
      </w:r>
      <w:r>
        <w:rPr>
          <w:b/>
          <w:bCs/>
        </w:rPr>
        <w:t xml:space="preserve">solicitation decisions expected in Q2 2026, negotiations with CT utilities to begin in Q3</w:t>
      </w:r>
      <w:r>
        <w:t xml:space="preserve">, then up to 180 days at PURA.</w:t>
      </w:r>
    </w:p>
    <w:p>
      <w:pPr>
        <w:pStyle w:val="Compact"/>
        <w:numPr>
          <w:ilvl w:val="0"/>
          <w:numId w:val="1004"/>
        </w:numPr>
      </w:pPr>
      <w:r>
        <w:t xml:space="preserve">Management is</w:t>
      </w:r>
      <w:r>
        <w:t xml:space="preserve"> </w:t>
      </w:r>
      <w:r>
        <w:rPr>
          <w:b/>
          <w:bCs/>
        </w:rPr>
        <w:t xml:space="preserve">willing to contract more than the ~55%</w:t>
      </w:r>
      <w:r>
        <w:t xml:space="preserve"> </w:t>
      </w:r>
      <w:r>
        <w:t xml:space="preserve">historically, is talking to</w:t>
      </w:r>
      <w:r>
        <w:t xml:space="preserve"> </w:t>
      </w:r>
      <w:r>
        <w:rPr>
          <w:b/>
          <w:bCs/>
        </w:rPr>
        <w:t xml:space="preserve">other New England states</w:t>
      </w:r>
      <w:r>
        <w:t xml:space="preserve">, and is still evaluating</w:t>
      </w:r>
      <w:r>
        <w:t xml:space="preserve"> </w:t>
      </w:r>
      <w:r>
        <w:rPr>
          <w:b/>
          <w:bCs/>
        </w:rPr>
        <w:t xml:space="preserve">data-center offtake</w:t>
      </w:r>
      <w:r>
        <w:t xml:space="preserve"> </w:t>
      </w:r>
      <w:r>
        <w:t xml:space="preserve">(with the caveat that any deal needs Connecticut stakeholder support).</w:t>
      </w:r>
    </w:p>
    <w:p>
      <w:pPr>
        <w:pStyle w:val="FirstParagraph"/>
      </w:pPr>
      <w:r>
        <w:rPr>
          <w:b/>
          <w:bCs/>
        </w:rPr>
        <w:t xml:space="preserve">What to look for:</w:t>
      </w:r>
      <w:r>
        <w:t xml:space="preserve"> </w:t>
      </w:r>
      <w:r>
        <w:t xml:space="preserve">any news on the DEEP RFP outcome and whether Dominion frames Millstone as an explicit driver of the "monitoring catalysts that could enhance/extend the growth rate" language. A constructive recontracting is upside not fully in the plan.</w:t>
      </w:r>
    </w:p>
    <w:bookmarkEnd w:id="14"/>
    <w:bookmarkStart w:id="15" w:name="X624d4611b4225d7709f4a0aadce7de9f17e3c7f"/>
    <w:p>
      <w:pPr>
        <w:pStyle w:val="Heading3"/>
      </w:pPr>
      <w:r>
        <w:t xml:space="preserve">4) Capital-plan / battery-storage optionality</w:t>
      </w:r>
    </w:p>
    <w:p>
      <w:pPr>
        <w:pStyle w:val="FirstParagraph"/>
      </w:pPr>
      <w:r>
        <w:t xml:space="preserve">Virginia's</w:t>
      </w:r>
      <w:r>
        <w:t xml:space="preserve"> </w:t>
      </w:r>
      <w:r>
        <w:rPr>
          <w:b/>
          <w:bCs/>
        </w:rPr>
        <w:t xml:space="preserve">HB 895 / SB 448</w:t>
      </w:r>
      <w:r>
        <w:t xml:space="preserve"> </w:t>
      </w:r>
      <w:r>
        <w:t xml:space="preserve">now require Dominion to petition for</w:t>
      </w:r>
      <w:r>
        <w:t xml:space="preserve"> </w:t>
      </w:r>
      <w:r>
        <w:rPr>
          <w:b/>
          <w:bCs/>
        </w:rPr>
        <w:t xml:space="preserve">20 GW of storage by 2045</w:t>
      </w:r>
      <w:r>
        <w:t xml:space="preserve"> </w:t>
      </w:r>
      <w:r>
        <w:t xml:space="preserve">(up from 3 GW by 2035). The current **</w:t>
      </w:r>
      <m:oMath>
        <m:r>
          <m:t>65</m:t>
        </m:r>
        <m:r>
          <m:t>B</m:t>
        </m:r>
        <m:r>
          <m:t>f</m:t>
        </m:r>
        <m:r>
          <m:t>i</m:t>
        </m:r>
        <m:r>
          <m:t>v</m:t>
        </m:r>
        <m:r>
          <m:t>e</m:t>
        </m:r>
        <m:r>
          <m:rPr>
            <m:sty m:val="p"/>
          </m:rPr>
          <m:t>−</m:t>
        </m:r>
        <m:r>
          <m:t>y</m:t>
        </m:r>
        <m:r>
          <m:t>e</m:t>
        </m:r>
        <m:r>
          <m:t>a</m:t>
        </m:r>
        <m:r>
          <m:t>r</m:t>
        </m:r>
        <m:r>
          <m:t>p</m:t>
        </m:r>
        <m:r>
          <m:t>l</m:t>
        </m:r>
        <m:r>
          <m:t>a</m:t>
        </m:r>
        <m:r>
          <m:t>n</m:t>
        </m:r>
        <m:r>
          <m:rPr>
            <m:sty m:val="p"/>
          </m:rPr>
          <m:t>*</m:t>
        </m:r>
        <m:r>
          <m:rPr>
            <m:sty m:val="p"/>
          </m:rPr>
          <m:t>*</m:t>
        </m:r>
        <m:r>
          <m:t>a</m:t>
        </m:r>
        <m:r>
          <m:t>l</m:t>
        </m:r>
        <m:r>
          <m:t>r</m:t>
        </m:r>
        <m:r>
          <m:t>e</m:t>
        </m:r>
        <m:r>
          <m:t>a</m:t>
        </m:r>
        <m:r>
          <m:t>d</m:t>
        </m:r>
        <m:r>
          <m:t>y</m:t>
        </m:r>
        <m:r>
          <m:t>i</m:t>
        </m:r>
        <m:r>
          <m:t>n</m:t>
        </m:r>
        <m:r>
          <m:t>c</m:t>
        </m:r>
        <m:r>
          <m:t>l</m:t>
        </m:r>
        <m:r>
          <m:t>u</m:t>
        </m:r>
        <m:r>
          <m:t>d</m:t>
        </m:r>
        <m:r>
          <m:t>e</m:t>
        </m:r>
        <m:r>
          <m:t>s</m:t>
        </m:r>
        <m:r>
          <m:t> </m:t>
        </m:r>
      </m:oMath>
      <w:r>
        <w:t xml:space="preserve">2B of storage; at</w:t>
      </w:r>
      <w:r>
        <w:t xml:space="preserve"> </w:t>
      </w:r>
      <w:r>
        <w:rPr>
          <w:b/>
          <w:bCs/>
        </w:rPr>
        <w:t xml:space="preserve">$2.5–3.0B/GW installed</w:t>
      </w:r>
      <w:r>
        <w:t xml:space="preserve">, this is a multi-year capital tailwind. Formal updates come via the</w:t>
      </w:r>
      <w:r>
        <w:t xml:space="preserve"> </w:t>
      </w:r>
      <w:r>
        <w:rPr>
          <w:b/>
          <w:bCs/>
        </w:rPr>
        <w:t xml:space="preserve">fall 2026 IRP</w:t>
      </w:r>
      <w:r>
        <w:t xml:space="preserve"> </w:t>
      </w:r>
      <w:r>
        <w:t xml:space="preserve">and the</w:t>
      </w:r>
      <w:r>
        <w:t xml:space="preserve"> </w:t>
      </w:r>
      <w:r>
        <w:rPr>
          <w:b/>
          <w:bCs/>
        </w:rPr>
        <w:t xml:space="preserve">Q4/early-2027 capital plan refresh</w:t>
      </w:r>
      <w:r>
        <w:t xml:space="preserve">, so don't expect hard numbers this quarter — but listen for tone on the ramp and any "upward bias" language.</w:t>
      </w:r>
    </w:p>
    <w:bookmarkEnd w:id="15"/>
    <w:bookmarkStart w:id="16" w:name="X0c251bd09dc4246ec5b2724d10e86c5ad144b65"/>
    <w:p>
      <w:pPr>
        <w:pStyle w:val="Heading3"/>
      </w:pPr>
      <w:r>
        <w:t xml:space="preserve">5) Balance sheet &amp; equity financing — the credibility anchor</w:t>
      </w:r>
    </w:p>
    <w:p>
      <w:pPr>
        <w:pStyle w:val="Compact"/>
        <w:numPr>
          <w:ilvl w:val="0"/>
          <w:numId w:val="1005"/>
        </w:numPr>
      </w:pPr>
      <w:r>
        <w:rPr>
          <w:b/>
          <w:bCs/>
        </w:rPr>
        <w:t xml:space="preserve">FFO/debt above 15%</w:t>
      </w:r>
      <w:r>
        <w:t xml:space="preserve"> </w:t>
      </w:r>
      <w:r>
        <w:t xml:space="preserve">(both FY25 and Q1 LTM); management insists the cushion is adequate and there's</w:t>
      </w:r>
      <w:r>
        <w:t xml:space="preserve"> </w:t>
      </w:r>
      <w:r>
        <w:rPr>
          <w:b/>
          <w:bCs/>
        </w:rPr>
        <w:t xml:space="preserve">no ramp needed</w:t>
      </w:r>
      <w:r>
        <w:t xml:space="preserve"> </w:t>
      </w:r>
      <w:r>
        <w:t xml:space="preserve">to get there.</w:t>
      </w:r>
    </w:p>
    <w:p>
      <w:pPr>
        <w:pStyle w:val="Compact"/>
        <w:numPr>
          <w:ilvl w:val="0"/>
          <w:numId w:val="1005"/>
        </w:numPr>
      </w:pPr>
      <w:r>
        <w:rPr>
          <w:b/>
          <w:bCs/>
        </w:rPr>
        <w:t xml:space="preserve">Equity:</w:t>
      </w:r>
      <w:r>
        <w:t xml:space="preserve"> </w:t>
      </w:r>
      <w:r>
        <w:t xml:space="preserve">~</w:t>
      </w:r>
      <m:oMath>
        <m:r>
          <m:t>1.2</m:t>
        </m:r>
        <m:r>
          <m:t>B</m:t>
        </m:r>
        <m:r>
          <m:t>A</m:t>
        </m:r>
        <m:r>
          <m:t>T</m:t>
        </m:r>
        <m:r>
          <m:t>M</m:t>
        </m:r>
        <m:r>
          <m:t>i</m:t>
        </m:r>
        <m:r>
          <m:t>s</m:t>
        </m:r>
        <m:r>
          <m:t>s</m:t>
        </m:r>
        <m:r>
          <m:t>u</m:t>
        </m:r>
        <m:r>
          <m:t>e</m:t>
        </m:r>
        <m:r>
          <m:t>d</m:t>
        </m:r>
        <m:r>
          <m:t>Y</m:t>
        </m:r>
        <m:r>
          <m:t>T</m:t>
        </m:r>
        <m:r>
          <m:t>D</m:t>
        </m:r>
        <m:r>
          <m:rPr>
            <m:sty m:val="p"/>
          </m:rPr>
          <m:t>*</m:t>
        </m:r>
        <m:r>
          <m:rPr>
            <m:sty m:val="p"/>
          </m:rPr>
          <m:t>*</m:t>
        </m:r>
        <m:r>
          <m:t>t</m:t>
        </m:r>
        <m:r>
          <m:t>h</m:t>
        </m:r>
        <m:r>
          <m:t>r</m:t>
        </m:r>
        <m:r>
          <m:t>o</m:t>
        </m:r>
        <m:r>
          <m:t>u</m:t>
        </m:r>
        <m:r>
          <m:t>g</m:t>
        </m:r>
        <m:r>
          <m:t>h</m:t>
        </m:r>
        <m:r>
          <m:t>Q</m:t>
        </m:r>
        <m:r>
          <m:t>1</m:t>
        </m:r>
        <m:r>
          <m:rPr>
            <m:sty m:val="p"/>
          </m:rPr>
          <m:t>,</m:t>
        </m:r>
        <m:r>
          <m:t>w</m:t>
        </m:r>
        <m:r>
          <m:t>i</m:t>
        </m:r>
        <m:r>
          <m:t>t</m:t>
        </m:r>
        <m:r>
          <m:t>h</m:t>
        </m:r>
        <m:r>
          <m:rPr>
            <m:sty m:val="p"/>
          </m:rPr>
          <m:t>*</m:t>
        </m:r>
        <m:r>
          <m:rPr>
            <m:sty m:val="p"/>
          </m:rPr>
          <m:t>*</m:t>
        </m:r>
      </m:oMath>
      <w:r>
        <w:rPr>
          <w:b/>
          <w:bCs/>
        </w:rPr>
        <w:t xml:space="preserve">400–600M remaining for 2026</w:t>
      </w:r>
      <w:r>
        <w:t xml:space="preserve">. Track progress — funding the plan without balance-sheet stress is core to the thesis, and any dilution/financing surprise matters.</w:t>
      </w:r>
    </w:p>
    <w:p>
      <w:r>
        <w:pict>
          <v:rect style="width:0;height:1.5pt" o:hralign="center" o:hrstd="t" o:hr="t"/>
        </w:pict>
      </w:r>
    </w:p>
    <w:bookmarkEnd w:id="16"/>
    <w:bookmarkEnd w:id="17"/>
    <w:bookmarkStart w:id="18" w:name="regulatory-items-to-check-off"/>
    <w:p>
      <w:pPr>
        <w:pStyle w:val="Heading2"/>
      </w:pPr>
      <w:r>
        <w:t xml:space="preserve">Regulatory items to check off</w:t>
      </w:r>
    </w:p>
    <w:p>
      <w:pPr>
        <w:pStyle w:val="Compact"/>
        <w:numPr>
          <w:ilvl w:val="0"/>
          <w:numId w:val="1006"/>
        </w:numPr>
      </w:pPr>
      <w:r>
        <w:rPr>
          <w:b/>
          <w:bCs/>
        </w:rPr>
        <w:t xml:space="preserve">South Carolina (DESC) electric rate case:</w:t>
      </w:r>
      <w:r>
        <w:t xml:space="preserve"> </w:t>
      </w:r>
      <w:r>
        <w:t xml:space="preserve">a decision was expected</w:t>
      </w:r>
      <w:r>
        <w:t xml:space="preserve"> </w:t>
      </w:r>
      <w:r>
        <w:rPr>
          <w:b/>
          <w:bCs/>
        </w:rPr>
        <w:t xml:space="preserve">late June 2026 with rates effective in July</w:t>
      </w:r>
      <w:r>
        <w:t xml:space="preserve"> </w:t>
      </w:r>
      <w:r>
        <w:t xml:space="preserve">— this print should carry the outcome. DESC is only ~4% of the investment base but has been a modest earnings drag (softer Q1 segment result).</w:t>
      </w:r>
    </w:p>
    <w:p>
      <w:pPr>
        <w:pStyle w:val="Compact"/>
        <w:numPr>
          <w:ilvl w:val="0"/>
          <w:numId w:val="1006"/>
        </w:numPr>
      </w:pPr>
      <w:r>
        <w:rPr>
          <w:b/>
          <w:bCs/>
        </w:rPr>
        <w:t xml:space="preserve">North Carolina:</w:t>
      </w:r>
      <w:r>
        <w:t xml:space="preserve"> </w:t>
      </w:r>
      <w:r>
        <w:t xml:space="preserve">rate case filed to recover ~$400M of investment; decision expected</w:t>
      </w:r>
      <w:r>
        <w:t xml:space="preserve"> </w:t>
      </w:r>
      <w:r>
        <w:rPr>
          <w:b/>
          <w:bCs/>
        </w:rPr>
        <w:t xml:space="preserve">Feb 2027</w:t>
      </w:r>
      <w:r>
        <w:t xml:space="preserve"> </w:t>
      </w:r>
      <w:r>
        <w:t xml:space="preserve">(interim rates Dec 2026).</w:t>
      </w:r>
    </w:p>
    <w:p>
      <w:pPr>
        <w:pStyle w:val="Compact"/>
        <w:numPr>
          <w:ilvl w:val="0"/>
          <w:numId w:val="1006"/>
        </w:numPr>
      </w:pPr>
      <w:r>
        <w:rPr>
          <w:b/>
          <w:bCs/>
        </w:rPr>
        <w:t xml:space="preserve">Virginia:</w:t>
      </w:r>
      <w:r>
        <w:t xml:space="preserve"> </w:t>
      </w:r>
      <w:r>
        <w:t xml:space="preserve">fuel securitization planned to minimize customer rate impact; affordability messaging remains front-and-center.</w:t>
      </w:r>
    </w:p>
    <w:p>
      <w:r>
        <w:pict>
          <v:rect style="width:0;height:1.5pt" o:hralign="center" o:hrstd="t" o:hr="t"/>
        </w:pict>
      </w:r>
    </w:p>
    <w:bookmarkEnd w:id="18"/>
    <w:bookmarkStart w:id="19" w:name="weather--seasonal-wildcard"/>
    <w:p>
      <w:pPr>
        <w:pStyle w:val="Heading2"/>
      </w:pPr>
      <w:r>
        <w:t xml:space="preserve">Weather / seasonal wildcard</w:t>
      </w:r>
    </w:p>
    <w:p>
      <w:pPr>
        <w:pStyle w:val="FirstParagraph"/>
      </w:pPr>
      <w:r>
        <w:t xml:space="preserve">Q2 and Q3 are summer-load quarters.</w:t>
      </w:r>
      <w:r>
        <w:t xml:space="preserve"> </w:t>
      </w:r>
      <w:r>
        <w:rPr>
          <w:b/>
          <w:bCs/>
        </w:rPr>
        <w:t xml:space="preserve">July 2026 featured notable heat and grid stress across markets</w:t>
      </w:r>
      <w:r>
        <w:t xml:space="preserve">, which can help volumes but also raises reliability scrutiny. Weather was a modest positive in Q1 (+$0.04 in Virginia); watch the weather-normalization commentary.</w:t>
      </w:r>
    </w:p>
    <w:p>
      <w:r>
        <w:pict>
          <v:rect style="width:0;height:1.5pt" o:hralign="center" o:hrstd="t" o:hr="t"/>
        </w:pict>
      </w:r>
    </w:p>
    <w:bookmarkEnd w:id="19"/>
    <w:bookmarkStart w:id="20" w:name="stock-setup-into-the-print"/>
    <w:p>
      <w:pPr>
        <w:pStyle w:val="Heading2"/>
      </w:pPr>
      <w:r>
        <w:t xml:space="preserve">Stock setup into the print</w:t>
      </w:r>
    </w:p>
    <w:p>
      <w:pPr>
        <w:pStyle w:val="FirstParagraph"/>
      </w:pPr>
      <w:r>
        <w:t xml:space="preserve">Dominion has</w:t>
      </w:r>
      <w:r>
        <w:t xml:space="preserve"> </w:t>
      </w:r>
      <w:r>
        <w:rPr>
          <w:b/>
          <w:bCs/>
        </w:rPr>
        <w:t xml:space="preserve">outperformed regulated-utility peers in 2026</w:t>
      </w:r>
      <w:r>
        <w:t xml:space="preserve">. Using closing prices, D is up roughly</w:t>
      </w:r>
      <w:r>
        <w:t xml:space="preserve"> </w:t>
      </w:r>
      <w:r>
        <w:rPr>
          <w:b/>
          <w:bCs/>
        </w:rPr>
        <w:t xml:space="preserve">+18% YTD</w:t>
      </w:r>
      <w:r>
        <w:t xml:space="preserve"> </w:t>
      </w:r>
      <w:r>
        <w:t xml:space="preserve">(≈</w:t>
      </w:r>
      <m:oMath>
        <m:r>
          <m:t>59.2</m:t>
        </m:r>
        <m:r>
          <m:rPr>
            <m:sty m:val="p"/>
          </m:rPr>
          <m:t>→</m:t>
        </m:r>
        <m:r>
          <m:rPr>
            <m:sty m:val="p"/>
          </m:rPr>
          <m:t>≈</m:t>
        </m:r>
      </m:oMath>
      <w:r>
        <w:t xml:space="preserve">69.8 through July 30), versus roughly</w:t>
      </w:r>
      <w:r>
        <w:t xml:space="preserve"> </w:t>
      </w:r>
      <w:r>
        <w:rPr>
          <w:b/>
          <w:bCs/>
        </w:rPr>
        <w:t xml:space="preserve">+8%</w:t>
      </w:r>
      <w:r>
        <w:t xml:space="preserve"> </w:t>
      </w:r>
      <w:r>
        <w:t xml:space="preserve">for Southern (SO) and</w:t>
      </w:r>
      <w:r>
        <w:t xml:space="preserve"> </w:t>
      </w:r>
      <w:r>
        <w:rPr>
          <w:b/>
          <w:bCs/>
        </w:rPr>
        <w:t xml:space="preserve">+10%</w:t>
      </w:r>
      <w:r>
        <w:t xml:space="preserve"> </w:t>
      </w:r>
      <w:r>
        <w:t xml:space="preserve">for AEP over the same window. Notably, the shares</w:t>
      </w:r>
      <w:r>
        <w:t xml:space="preserve"> </w:t>
      </w:r>
      <w:r>
        <w:rPr>
          <w:b/>
          <w:bCs/>
        </w:rPr>
        <w:t xml:space="preserve">re-rated sharply in mid-May 2026</w:t>
      </w:r>
      <w:r>
        <w:t xml:space="preserve"> </w:t>
      </w:r>
      <w:r>
        <w:t xml:space="preserve">(a jump from ~</w:t>
      </w:r>
      <m:oMath>
        <m:r>
          <m:t>61.7</m:t>
        </m:r>
        <m:r>
          <m:t>t</m:t>
        </m:r>
        <m:r>
          <m:t>o</m:t>
        </m:r>
        <m:r>
          <m:t> </m:t>
        </m:r>
      </m:oMath>
      <w:r>
        <w:t xml:space="preserve">67.6 around May 18) and have largely held those gains, touching the low-$70s in mid-July before easing into the print.</w:t>
      </w:r>
    </w:p>
    <w:p>
      <w:pPr>
        <w:pStyle w:val="BodyText"/>
      </w:pPr>
      <w:r>
        <w:rPr>
          <w:b/>
          <w:bCs/>
        </w:rPr>
        <w:t xml:space="preserve">Implication:</w:t>
      </w:r>
      <w:r>
        <w:t xml:space="preserve"> </w:t>
      </w:r>
      <w:r>
        <w:t xml:space="preserve">expectations have risen and valuation has expanded, so the bar is higher than it was a year ago. With guidance likely just reaffirmed, the reaction will hinge on the</w:t>
      </w:r>
      <w:r>
        <w:t xml:space="preserve"> </w:t>
      </w:r>
      <w:r>
        <w:rPr>
          <w:b/>
          <w:bCs/>
        </w:rPr>
        <w:t xml:space="preserve">qualitative de-risking items</w:t>
      </w:r>
      <w:r>
        <w:t xml:space="preserve"> </w:t>
      </w:r>
      <w:r>
        <w:t xml:space="preserve">— CVOW cost/schedule, Millstone RFP progress, and data-center contracting — rather than the EPS number itself.</w:t>
      </w:r>
    </w:p>
    <w:p>
      <w:r>
        <w:pict>
          <v:rect style="width:0;height:1.5pt" o:hralign="center" o:hrstd="t" o:hr="t"/>
        </w:pict>
      </w:r>
    </w:p>
    <w:bookmarkEnd w:id="20"/>
    <w:bookmarkStart w:id="21" w:name="X22408644934a84469b02c8d29d117ee444a590a"/>
    <w:p>
      <w:pPr>
        <w:pStyle w:val="Heading2"/>
      </w:pPr>
      <w:r>
        <w:t xml:space="preserve">Bottom line — what would be bullish vs. bearish</w:t>
      </w:r>
    </w:p>
    <w:p>
      <w:pPr>
        <w:pStyle w:val="FirstParagraph"/>
      </w:pPr>
      <w:r>
        <w:rPr>
          <w:b/>
          <w:bCs/>
        </w:rPr>
        <w:t xml:space="preserve">Bullish:</w:t>
      </w:r>
      <w:r>
        <w:t xml:space="preserve"> </w:t>
      </w:r>
      <w:r>
        <w:t xml:space="preserve">clean CVOW update (higher % complete, faster install cadence, tariff/transmission items netting to neutral or better); rising data-center contracted GW; tangible Millstone RFP progress; reaffirmed FFO/debt &gt;15% with equity issuance on track; hints of capital-plan upside from storage.</w:t>
      </w:r>
    </w:p>
    <w:p>
      <w:pPr>
        <w:pStyle w:val="BodyText"/>
      </w:pPr>
      <w:r>
        <w:rPr>
          <w:b/>
          <w:bCs/>
        </w:rPr>
        <w:t xml:space="preserve">Bearish:</w:t>
      </w:r>
      <w:r>
        <w:t xml:space="preserve"> </w:t>
      </w:r>
      <w:r>
        <w:t xml:space="preserve">CVOW cost creep beyond the flagged ~$200M tariff hit or any schedule slip toward mid-2027 (the $150–200M/quarter rule); softer or more caveated data-center commentary given PJM large-load volatility and affordability politics; a disappointing DESC rate outcome; or incremental equity/financing needs.</w:t>
      </w:r>
    </w:p>
    <w:p>
      <w:pPr>
        <w:pStyle w:val="BodyText"/>
      </w:pPr>
      <w:r>
        <w:t xml:space="preserve">Given the seasonally small quarter and reaffirmed guide, treat this as</w:t>
      </w:r>
      <w:r>
        <w:t xml:space="preserve"> </w:t>
      </w:r>
      <w:r>
        <w:rPr>
          <w:b/>
          <w:bCs/>
        </w:rPr>
        <w:t xml:space="preserve">a catalyst-and-commentary report, not an EPS report</w:t>
      </w:r>
      <w:r>
        <w:t xml:space="preserve"> </w:t>
      </w:r>
      <w:r>
        <w:t xml:space="preserve">— the offshore-wind and Millstone updates are the tape-movers to watch.</w:t>
      </w:r>
    </w:p>
    <w:p>
      <w:pPr>
        <w:pStyle w:val="BodyText"/>
      </w:pPr>
      <w:r>
        <w:rPr>
          <w:i/>
          <w:iCs/>
        </w:rPr>
        <w:t xml:space="preserve">Note: This preview is based on Dominion's Q1 2026 disclosures, the FY2025 10-K, and market/news data through July 30, 2026; it is not investment advice.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2026-07-31T00:39:42Z</dcterms:created>
  <dcterms:modified xsi:type="dcterms:W3CDTF">2026-07-31T00:39:42Z</dcterms:modified>
</cp:coreProperties>
</file>

<file path=docProps/custom.xml><?xml version="1.0" encoding="utf-8"?>
<Properties xmlns="http://schemas.openxmlformats.org/officeDocument/2006/custom-properties" xmlns:vt="http://schemas.openxmlformats.org/officeDocument/2006/docPropsVTypes"/>
</file>