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-earnings-predictions--2026-07-31"/>
    <w:p>
      <w:pPr>
        <w:pStyle w:val="Heading1"/>
      </w:pPr>
      <w:r>
        <w:t xml:space="preserve">D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(non-GAAP) EPS – Q2 2026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~$0.80 vs. cons $0.78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GAAP/Reported EPS – Q2 2026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~$0.68 vs. cons $0.74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Operating Revenue – Q2 2026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~$4.08B vs. cons $4.06B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 guidance (midpoint)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~$3.57 vs. cons $3.57 (FY2026; range</w:t>
            </w:r>
            <w:r>
              <w:t xml:space="preserve"> </w:t>
            </w:r>
            <m:oMath>
              <m:r>
                <m:t>3.45</m:t>
              </m:r>
              <m:r>
                <m:rPr>
                  <m:sty m:val="p"/>
                </m:rPr>
                <m:t>−</m:t>
              </m:r>
            </m:oMath>
            <w:r>
              <w:t xml:space="preserve">3.69 reaffirmed)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CVOW total project budget/in-service schedule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~$11.4B vs. cons $11.4B (FY2026-2027; majority of turbines in service by YE2026, balance by mid-2027)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NEE merger closing timeline / special shareholder meetings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~2027H2 vs. cons 2027H2 (deal close target; special meetings early Sept 2026 reaffirmed)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FFO-to-debt credit metric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~15%+ vs. cons 15% (FY2026 target; above Moody's/S&amp;P downgrade threshold)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+0.2% (STABILIZE)</w:t>
            </w:r>
          </w:p>
        </w:tc>
        <w:tc>
          <w:tcPr/>
          <w:p>
            <w:pPr>
              <w:pStyle w:val="Compact"/>
            </w:pPr>
            <w:r>
              <w:t xml:space="preserve">D's post-announcement beta to SPX is near zero/negative (-0.23) while correlation to NEE is 0.91 — the stock now trades as a fixed-ratio merger-arb instrument (~3% discount to implied deal value of ~$72) rather than on standalone fundamentals. A modest operating-EPS beat with FY26 guidance, CVOW budget/schedule and merger-timeline (Sept 2026 votes, H2 2027 close) all reaffirmed removes incremental deal-risk but doesn't re-rate the arb spread, since the exchange ratio is fixed; a possible GAAP-EPS miss (Zacks ESP -5.4%, estimates cut ~10% over 60 days, likely merger transaction/financing costs) could spook headline-driven flows on day 1, but with no new regulatory information the spread should stabilize near its pre-print level within a few sessions rather than trending further, as forward EPS revisions get netted against Dominion's already-embedded 'certainty equivalent' merger valuation.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2026-07-31T00:43:18Z</dcterms:created>
  <dcterms:modified xsi:type="dcterms:W3CDTF">2026-07-31T00:43:18Z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