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3" w:name="Xabdce42bece287e5d46e5e450a5ffa06c04e6cd"/>
    <w:p>
      <w:pPr>
        <w:pStyle w:val="Heading1"/>
      </w:pPr>
      <w:r>
        <w:t xml:space="preserve">Dominion Energy (NYSE: D) — Q2 2026 Earnings Preview</w:t>
      </w:r>
    </w:p>
    <w:p>
      <w:pPr>
        <w:pStyle w:val="FirstParagraph"/>
      </w:pPr>
      <w:r>
        <w:rPr>
          <w:b/>
          <w:bCs/>
        </w:rPr>
        <w:t xml:space="preserve">Report Date:</w:t>
      </w:r>
      <w:r>
        <w:t xml:space="preserve"> </w:t>
      </w:r>
      <w:r>
        <w:t xml:space="preserve">Friday, July 31, 2026 (before market open) |</w:t>
      </w:r>
      <w:r>
        <w:t xml:space="preserve"> </w:t>
      </w:r>
      <w:r>
        <w:rPr>
          <w:b/>
          <w:bCs/>
        </w:rPr>
        <w:t xml:space="preserve">Consensus:</w:t>
      </w:r>
      <w:r>
        <w:t xml:space="preserve"> </w:t>
      </w:r>
      <w:r>
        <w:t xml:space="preserve">~$0.78 operating EPS vs. $0.75 in Q2 2025</w:t>
      </w:r>
    </w:p>
    <w:p>
      <w:r>
        <w:pict>
          <v:rect style="width:0;height:1.5pt" o:hralign="center" o:hrstd="t" o:hr="t"/>
        </w:pict>
      </w:r>
    </w:p>
    <w:bookmarkStart w:id="9" w:name="X76acf581525f8f3ee9cf03b965d896b79238c70"/>
    <w:p>
      <w:pPr>
        <w:pStyle w:val="Heading2"/>
      </w:pPr>
      <w:r>
        <w:t xml:space="preserve">1. The Elephant in the Room: The NextEra Merger</w:t>
      </w:r>
    </w:p>
    <w:p>
      <w:pPr>
        <w:pStyle w:val="FirstParagraph"/>
      </w:pPr>
      <w:r>
        <w:t xml:space="preserve">This is no longer a "normal" earnings report. On May 18, 2026, Dominion and</w:t>
      </w:r>
      <w:r>
        <w:t xml:space="preserve"> </w:t>
      </w:r>
      <w:r>
        <w:rPr>
          <w:b/>
          <w:bCs/>
        </w:rPr>
        <w:t xml:space="preserve">NextEra Energy (NEE)</w:t>
      </w:r>
      <w:r>
        <w:t xml:space="preserve"> </w:t>
      </w:r>
      <w:r>
        <w:t xml:space="preserve">announced a definitive, all-stock combination in which Dominion shareholders will receive</w:t>
      </w:r>
      <w:r>
        <w:t xml:space="preserve"> </w:t>
      </w:r>
      <w:r>
        <w:rPr>
          <w:b/>
          <w:bCs/>
        </w:rPr>
        <w:t xml:space="preserve">0.8138 shares of NEE for each D share</w:t>
      </w:r>
      <w:r>
        <w:t xml:space="preserve">, plus a one-time taxable cash payment of $360 million split pro-rata across all shares, plus continuation of D's current dividend through closing. Post-close, NEE shareholders would own ~74.5% and Dominion shareholders ~25.5% of the combined company, which would operate under the NextEra name (ticker NEE) with dual headquarters in Juno Beach and Richmond.</w:t>
      </w:r>
    </w:p>
    <w:p>
      <w:pPr>
        <w:pStyle w:val="BodyText"/>
      </w:pPr>
      <w:r>
        <w:t xml:space="preserve">The deal has been actively progressing:</w:t>
      </w:r>
    </w:p>
    <w:p>
      <w:pPr>
        <w:pStyle w:val="Compact"/>
        <w:numPr>
          <w:ilvl w:val="0"/>
          <w:numId w:val="1001"/>
        </w:numPr>
      </w:pPr>
      <w:r>
        <w:t xml:space="preserve">The joint Form S-4 registration statement was filed July 9, 2026 and</w:t>
      </w:r>
      <w:r>
        <w:t xml:space="preserve"> </w:t>
      </w:r>
      <w:r>
        <w:rPr>
          <w:b/>
          <w:bCs/>
        </w:rPr>
        <w:t xml:space="preserve">declared effective by the SEC on July 23, 2026</w:t>
      </w:r>
      <w:r>
        <w:t xml:space="preserve">.</w:t>
      </w:r>
    </w:p>
    <w:p>
      <w:pPr>
        <w:pStyle w:val="Compact"/>
        <w:numPr>
          <w:ilvl w:val="0"/>
          <w:numId w:val="1001"/>
        </w:numPr>
      </w:pPr>
      <w:r>
        <w:t xml:space="preserve">On</w:t>
      </w:r>
      <w:r>
        <w:t xml:space="preserve"> </w:t>
      </w:r>
      <w:r>
        <w:rPr>
          <w:b/>
          <w:bCs/>
        </w:rPr>
        <w:t xml:space="preserve">July 15, 2026</w:t>
      </w:r>
      <w:r>
        <w:t xml:space="preserve">, the companies filed merger applications with the Virginia SCC (which starts a statutory six-month review clock), the North Carolina Utilities Commission, the Public Service Commission of South Carolina, FERC, and the NRC.</w:t>
      </w:r>
    </w:p>
    <w:p>
      <w:pPr>
        <w:pStyle w:val="Compact"/>
        <w:numPr>
          <w:ilvl w:val="0"/>
          <w:numId w:val="1001"/>
        </w:numPr>
      </w:pPr>
      <w:r>
        <w:t xml:space="preserve">NextEra's own Q2 print (July 24, 2026) confirmed that</w:t>
      </w:r>
      <w:r>
        <w:t xml:space="preserve"> </w:t>
      </w:r>
      <w:r>
        <w:rPr>
          <w:b/>
          <w:bCs/>
        </w:rPr>
        <w:t xml:space="preserve">special shareholder meetings for both companies are expected in early September 2026</w:t>
      </w:r>
      <w:r>
        <w:t xml:space="preserve">, with closing targeted for the</w:t>
      </w:r>
      <w:r>
        <w:t xml:space="preserve"> </w:t>
      </w:r>
      <w:r>
        <w:rPr>
          <w:b/>
          <w:bCs/>
        </w:rPr>
        <w:t xml:space="preserve">second half of 2027</w:t>
      </w:r>
      <w:r>
        <w:t xml:space="preserve">.</w:t>
      </w:r>
    </w:p>
    <w:p>
      <w:pPr>
        <w:pStyle w:val="Compact"/>
        <w:numPr>
          <w:ilvl w:val="0"/>
          <w:numId w:val="1001"/>
        </w:numPr>
      </w:pPr>
      <w:r>
        <w:t xml:space="preserve">Termination fees are steep and asymmetric — Dominion owes NextEra $2.24B in a walk-away scenario, while NextEra owes Dominion $6.52B (or $4.83B in a regulatory-failure scenario) — signaling both sides' conviction and offering some downside protection to D holders if the deal breaks on regulatory grounds.</w:t>
      </w:r>
    </w:p>
    <w:p>
      <w:pPr>
        <w:pStyle w:val="FirstParagraph"/>
      </w:pPr>
      <w:r>
        <w:rPr>
          <w:b/>
          <w:bCs/>
        </w:rPr>
        <w:t xml:space="preserve">Why this matters for tomorrow's print:</w:t>
      </w:r>
      <w:r>
        <w:t xml:space="preserve"> </w:t>
      </w:r>
      <w:r>
        <w:t xml:space="preserve">D stock has re-rated meaningfully since the announcement — from the low-</w:t>
      </w:r>
      <m:oMath>
        <m:r>
          <m:t>60</m:t>
        </m:r>
        <m:r>
          <m:t>s</m:t>
        </m:r>
        <m:r>
          <m:t>i</m:t>
        </m:r>
        <m:r>
          <m:t>n</m:t>
        </m:r>
        <m:r>
          <m:t>m</m:t>
        </m:r>
        <m:r>
          <m:t>i</m:t>
        </m:r>
        <m:r>
          <m:t>d</m:t>
        </m:r>
        <m:r>
          <m:rPr>
            <m:sty m:val="p"/>
          </m:rPr>
          <m:t>−</m:t>
        </m:r>
        <m:r>
          <m:t>M</m:t>
        </m:r>
        <m:r>
          <m:t>a</m:t>
        </m:r>
        <m:r>
          <m:t>y</m:t>
        </m:r>
        <m:r>
          <m:t>t</m:t>
        </m:r>
        <m:r>
          <m:t>o</m:t>
        </m:r>
        <m:r>
          <m:t>r</m:t>
        </m:r>
        <m:r>
          <m:t>o</m:t>
        </m:r>
        <m:r>
          <m:t>u</m:t>
        </m:r>
        <m:r>
          <m:t>g</m:t>
        </m:r>
        <m:r>
          <m:t>h</m:t>
        </m:r>
        <m:r>
          <m:t>l</m:t>
        </m:r>
        <m:r>
          <m:t>y</m:t>
        </m:r>
        <m:r>
          <m:rPr>
            <m:sty m:val="p"/>
          </m:rPr>
          <m:t>*</m:t>
        </m:r>
        <m:r>
          <m:rPr>
            <m:sty m:val="p"/>
          </m:rPr>
          <m:t>*</m:t>
        </m:r>
      </m:oMath>
      <w:r>
        <w:t xml:space="preserve">69-71** now — and trades at only a modest discount to the implied deal value (0.8138 × NEE's ~$88 stock ≈</w:t>
      </w:r>
      <w:r>
        <w:t xml:space="preserve"> </w:t>
      </w:r>
      <m:oMath>
        <m:r>
          <m:t>71.6</m:t>
        </m:r>
        <m:r>
          <m:rPr>
            <m:sty m:val="p"/>
          </m:rPr>
          <m:t>,</m:t>
        </m:r>
        <m:r>
          <m:t>p</m:t>
        </m:r>
        <m:r>
          <m:t>l</m:t>
        </m:r>
        <m:r>
          <m:t>u</m:t>
        </m:r>
        <m:r>
          <m:t>s</m:t>
        </m:r>
        <m:r>
          <m:t> </m:t>
        </m:r>
      </m:oMath>
      <w:r>
        <w:t xml:space="preserve">0.41/share of present cash consideration). That means the stock is now trading largely as a merger-arbitrage/spread instrument tied to regulatory approval odds and NEE's own share price, rather than purely on Dominion's standalone fundamentals. Expect the earnings call to be dominated by questions on regulatory review progress (especially the Virginia SCC's six-month clock), shareholder vote timing, and whether standalone guidance still holds pending close — not just the quarterly numbers themselves.</w:t>
      </w:r>
    </w:p>
    <w:bookmarkEnd w:id="9"/>
    <w:bookmarkStart w:id="10" w:name="Xd19a77ba6a7e2512756b4478c75db81a69e1142"/>
    <w:p>
      <w:pPr>
        <w:pStyle w:val="Heading2"/>
      </w:pPr>
      <w:r>
        <w:t xml:space="preserve">2. What to Expect on the Numbers</w:t>
      </w:r>
    </w:p>
    <w:p>
      <w:pPr>
        <w:pStyle w:val="Compact"/>
        <w:numPr>
          <w:ilvl w:val="0"/>
          <w:numId w:val="1002"/>
        </w:numPr>
      </w:pPr>
      <w:r>
        <w:rPr>
          <w:b/>
          <w:bCs/>
        </w:rPr>
        <w:t xml:space="preserve">Consensus:</w:t>
      </w:r>
      <w:r>
        <w:t xml:space="preserve"> </w:t>
      </w:r>
      <w:r>
        <w:t xml:space="preserve">analysts expect</w:t>
      </w:r>
      <w:r>
        <w:t xml:space="preserve"> </w:t>
      </w:r>
      <w:r>
        <w:rPr>
          <w:b/>
          <w:bCs/>
        </w:rPr>
        <w:t xml:space="preserve">$0.78</w:t>
      </w:r>
      <w:r>
        <w:t xml:space="preserve"> </w:t>
      </w:r>
      <w:r>
        <w:t xml:space="preserve">operating EPS, up ~4% from $0.75 a year ago; Dominion has beaten consensus in each of the last four quarters.</w:t>
      </w:r>
    </w:p>
    <w:p>
      <w:pPr>
        <w:pStyle w:val="Compact"/>
        <w:numPr>
          <w:ilvl w:val="0"/>
          <w:numId w:val="1002"/>
        </w:numPr>
      </w:pPr>
      <w:r>
        <w:t xml:space="preserve">Dominion's full-year 2026 operating EPS guidance range is</w:t>
      </w:r>
      <w:r>
        <w:t xml:space="preserve"> </w:t>
      </w:r>
      <m:oMath>
        <m:r>
          <m:t>3.45</m:t>
        </m:r>
        <m:r>
          <m:rPr>
            <m:sty m:val="p"/>
          </m:rPr>
          <m:t>–</m:t>
        </m:r>
      </m:oMath>
      <w:r>
        <w:rPr>
          <w:b/>
          <w:bCs/>
        </w:rPr>
        <w:t xml:space="preserve">3.69 (midpoint $3.57)</w:t>
      </w:r>
      <w:r>
        <w:t xml:space="preserve">, affirmed as recently as the Q1 call alongside all credit, dividend, and long-term growth guidance.</w:t>
      </w:r>
    </w:p>
    <w:p>
      <w:pPr>
        <w:pStyle w:val="Compact"/>
        <w:numPr>
          <w:ilvl w:val="0"/>
          <w:numId w:val="1002"/>
        </w:numPr>
      </w:pPr>
      <w:r>
        <w:t xml:space="preserve">Q1 2026 set a constructive tone: operating EPS of</w:t>
      </w:r>
      <w:r>
        <w:t xml:space="preserve"> </w:t>
      </w:r>
      <w:r>
        <w:rPr>
          <w:b/>
          <w:bCs/>
        </w:rPr>
        <w:t xml:space="preserve">$0.95</w:t>
      </w:r>
      <w:r>
        <w:t xml:space="preserve"> </w:t>
      </w:r>
      <w:r>
        <w:t xml:space="preserve">(vs. $0.93 in Q1 2025) on GAAP EPS of $0.69, with Dominion Energy Virginia the primary earnings driver (rider equity returns and 2025 biennial review impacts more than offset higher electric capacity expense and O&amp;M).</w:t>
      </w:r>
    </w:p>
    <w:p>
      <w:pPr>
        <w:pStyle w:val="Compact"/>
        <w:numPr>
          <w:ilvl w:val="0"/>
          <w:numId w:val="1002"/>
        </w:numPr>
      </w:pPr>
      <w:r>
        <w:t xml:space="preserve">Watch the segment bridge: Virginia utility strength has been offset somewhat by South Carolina softness and rising Corporate/Other interest expense (driven partly by equity issuance under the ATM program — $1.2B raised YTD through Q1, with another $0.4-0.6B planned).</w:t>
      </w:r>
    </w:p>
    <w:bookmarkEnd w:id="10"/>
    <w:bookmarkStart w:id="11" w:name="X812d23668c0f206db095381888cda83b9d9da4d"/>
    <w:p>
      <w:pPr>
        <w:pStyle w:val="Heading2"/>
      </w:pPr>
      <w:r>
        <w:t xml:space="preserve">3. Key Operating Threads Likely to Surface on the Call</w:t>
      </w:r>
    </w:p>
    <w:p>
      <w:pPr>
        <w:pStyle w:val="FirstParagraph"/>
      </w:pPr>
      <w:r>
        <w:rPr>
          <w:b/>
          <w:bCs/>
        </w:rPr>
        <w:t xml:space="preserve">Coastal Virginia Offshore Wind (CVOW):</w:t>
      </w:r>
      <w:r>
        <w:t xml:space="preserve"> </w:t>
      </w:r>
      <w:r>
        <w:t xml:space="preserve">As of the Q1 call the project was &gt;75% complete, having delivered "First Power" in March, with all 176 transition pieces installed and turbine installation cadence accelerating to roughly two days per turbine. Management has guided to the majority of turbines being placed in service by year-end 2026 and the balance by June 2027, with a rule of thumb of $150-200M in added cost per quarter of schedule slippage beyond July 2027. The</w:t>
      </w:r>
      <w:r>
        <w:t xml:space="preserve"> </w:t>
      </w:r>
      <m:oMath>
        <m:r>
          <m:t>11.4</m:t>
        </m:r>
        <m:r>
          <m:t>B</m:t>
        </m:r>
        <m:r>
          <m:t>b</m:t>
        </m:r>
        <m:r>
          <m:t>u</m:t>
        </m:r>
        <m:r>
          <m:t>d</m:t>
        </m:r>
        <m:r>
          <m:t>g</m:t>
        </m:r>
        <m:r>
          <m:t>e</m:t>
        </m:r>
        <m:r>
          <m:t>t</m:t>
        </m:r>
        <m:r>
          <m:t>i</m:t>
        </m:r>
        <m:r>
          <m:t>s</m:t>
        </m:r>
        <m:r>
          <m:t>b</m:t>
        </m:r>
        <m:r>
          <m:t>e</m:t>
        </m:r>
        <m:r>
          <m:t>i</m:t>
        </m:r>
        <m:r>
          <m:t>n</m:t>
        </m:r>
        <m:r>
          <m:t>g</m:t>
        </m:r>
        <m:r>
          <m:t>w</m:t>
        </m:r>
        <m:r>
          <m:t>a</m:t>
        </m:r>
        <m:r>
          <m:t>t</m:t>
        </m:r>
        <m:r>
          <m:t>c</m:t>
        </m:r>
        <m:r>
          <m:t>h</m:t>
        </m:r>
        <m:r>
          <m:t>e</m:t>
        </m:r>
        <m:r>
          <m:t>d</m:t>
        </m:r>
        <m:r>
          <m:t>f</m:t>
        </m:r>
        <m:r>
          <m:t>o</m:t>
        </m:r>
        <m:r>
          <m:t>r</m:t>
        </m:r>
        <m:r>
          <m:t>t</m:t>
        </m:r>
        <m:r>
          <m:t>w</m:t>
        </m:r>
        <m:r>
          <m:t>o</m:t>
        </m:r>
        <m:r>
          <m:t>o</m:t>
        </m:r>
        <m:r>
          <m:t>f</m:t>
        </m:r>
        <m:r>
          <m:t>f</m:t>
        </m:r>
        <m:r>
          <m:t>s</m:t>
        </m:r>
        <m:r>
          <m:t>e</m:t>
        </m:r>
        <m:r>
          <m:t>t</m:t>
        </m:r>
        <m:r>
          <m:t>t</m:t>
        </m:r>
        <m:r>
          <m:t>i</m:t>
        </m:r>
        <m:r>
          <m:t>n</m:t>
        </m:r>
        <m:r>
          <m:t>g</m:t>
        </m:r>
        <m:r>
          <m:t>s</m:t>
        </m:r>
        <m:r>
          <m:t>w</m:t>
        </m:r>
        <m:r>
          <m:t>i</m:t>
        </m:r>
        <m:r>
          <m:t>n</m:t>
        </m:r>
        <m:r>
          <m:t>g</m:t>
        </m:r>
        <m:r>
          <m:t>f</m:t>
        </m:r>
        <m:r>
          <m:t>a</m:t>
        </m:r>
        <m:r>
          <m:t>c</m:t>
        </m:r>
        <m:r>
          <m:t>t</m:t>
        </m:r>
        <m:r>
          <m:t>o</m:t>
        </m:r>
        <m:r>
          <m:t>r</m:t>
        </m:r>
        <m:r>
          <m:t>s</m:t>
        </m:r>
        <m:r>
          <m:rPr>
            <m:sty m:val="p"/>
          </m:rPr>
          <m:t>:</m:t>
        </m:r>
        <m:r>
          <m:t>p</m:t>
        </m:r>
        <m:r>
          <m:t>o</m:t>
        </m:r>
        <m:r>
          <m:t>t</m:t>
        </m:r>
        <m:r>
          <m:t>e</m:t>
        </m:r>
        <m:r>
          <m:t>n</m:t>
        </m:r>
        <m:r>
          <m:t>t</m:t>
        </m:r>
        <m:r>
          <m:t>i</m:t>
        </m:r>
        <m:r>
          <m:t>a</m:t>
        </m:r>
        <m:r>
          <m:t>l</m:t>
        </m:r>
        <m:r>
          <m:t>P</m:t>
        </m:r>
        <m:r>
          <m:t>J</m:t>
        </m:r>
        <m:r>
          <m:t>M</m:t>
        </m:r>
        <m:r>
          <m:t>t</m:t>
        </m:r>
        <m:r>
          <m:t>r</m:t>
        </m:r>
        <m:r>
          <m:t>a</m:t>
        </m:r>
        <m:r>
          <m:t>n</m:t>
        </m:r>
        <m:r>
          <m:t>s</m:t>
        </m:r>
        <m:r>
          <m:t>m</m:t>
        </m:r>
        <m:r>
          <m:t>i</m:t>
        </m:r>
        <m:r>
          <m:t>s</m:t>
        </m:r>
        <m:r>
          <m:t>s</m:t>
        </m:r>
        <m:r>
          <m:t>i</m:t>
        </m:r>
        <m:r>
          <m:t>o</m:t>
        </m:r>
        <m:r>
          <m:t>n</m:t>
        </m:r>
        <m:r>
          <m:t>c</m:t>
        </m:r>
        <m:r>
          <m:t>o</m:t>
        </m:r>
        <m:r>
          <m:t>s</m:t>
        </m:r>
        <m:r>
          <m:t>t</m:t>
        </m:r>
        <m:r>
          <m:t>r</m:t>
        </m:r>
        <m:r>
          <m:t>e</m:t>
        </m:r>
        <m:r>
          <m:t>a</m:t>
        </m:r>
        <m:r>
          <m:t>l</m:t>
        </m:r>
        <m:r>
          <m:t>l</m:t>
        </m:r>
        <m:r>
          <m:t>o</m:t>
        </m:r>
        <m:r>
          <m:t>c</m:t>
        </m:r>
        <m:r>
          <m:t>a</m:t>
        </m:r>
        <m:r>
          <m:t>t</m:t>
        </m:r>
        <m:r>
          <m:t>i</m:t>
        </m:r>
        <m:r>
          <m:t>o</m:t>
        </m:r>
        <m:r>
          <m:t>n</m:t>
        </m:r>
        <m:r>
          <m:rPr>
            <m:sty m:val="p"/>
          </m:rPr>
          <m:t>(</m:t>
        </m:r>
        <m:r>
          <m:t>a</m:t>
        </m:r>
        <m:r>
          <m:t>t</m:t>
        </m:r>
        <m:r>
          <m:t>a</m:t>
        </m:r>
        <m:r>
          <m:t>i</m:t>
        </m:r>
        <m:r>
          <m:t>l</m:t>
        </m:r>
        <m:r>
          <m:t>w</m:t>
        </m:r>
        <m:r>
          <m:t>i</m:t>
        </m:r>
        <m:r>
          <m:t>n</m:t>
        </m:r>
        <m:r>
          <m:t>d</m:t>
        </m:r>
        <m:r>
          <m:rPr>
            <m:sty m:val="p"/>
          </m:rPr>
          <m:t>)</m:t>
        </m:r>
        <m:r>
          <m:t>v</m:t>
        </m:r>
        <m:r>
          <m:t>e</m:t>
        </m:r>
        <m:r>
          <m:t>r</m:t>
        </m:r>
        <m:r>
          <m:t>s</m:t>
        </m:r>
        <m:r>
          <m:t>u</m:t>
        </m:r>
        <m:r>
          <m:t>s</m:t>
        </m:r>
        <m:r>
          <m:t>S</m:t>
        </m:r>
        <m:r>
          <m:t>e</m:t>
        </m:r>
        <m:r>
          <m:t>c</m:t>
        </m:r>
        <m:r>
          <m:t>t</m:t>
        </m:r>
        <m:r>
          <m:t>i</m:t>
        </m:r>
        <m:r>
          <m:t>o</m:t>
        </m:r>
        <m:r>
          <m:t>n</m:t>
        </m:r>
        <m:r>
          <m:t>232</m:t>
        </m:r>
        <m:r>
          <m:t>s</m:t>
        </m:r>
        <m:r>
          <m:t>t</m:t>
        </m:r>
        <m:r>
          <m:t>e</m:t>
        </m:r>
        <m:r>
          <m:t>e</m:t>
        </m:r>
        <m:r>
          <m:t>l</m:t>
        </m:r>
        <m:r>
          <m:rPr>
            <m:sty m:val="p"/>
          </m:rPr>
          <m:t>/</m:t>
        </m:r>
        <m:r>
          <m:t>a</m:t>
        </m:r>
        <m:r>
          <m:t>l</m:t>
        </m:r>
        <m:r>
          <m:t>u</m:t>
        </m:r>
        <m:r>
          <m:t>m</m:t>
        </m:r>
        <m:r>
          <m:t>i</m:t>
        </m:r>
        <m:r>
          <m:t>n</m:t>
        </m:r>
        <m:r>
          <m:t>u</m:t>
        </m:r>
        <m:r>
          <m:t>m</m:t>
        </m:r>
        <m:r>
          <m:t>t</m:t>
        </m:r>
        <m:r>
          <m:t>a</m:t>
        </m:r>
        <m:r>
          <m:t>r</m:t>
        </m:r>
        <m:r>
          <m:t>i</m:t>
        </m:r>
        <m:r>
          <m:t>f</m:t>
        </m:r>
        <m:r>
          <m:t>f</m:t>
        </m:r>
        <m:r>
          <m:t>e</m:t>
        </m:r>
        <m:r>
          <m:t>x</m:t>
        </m:r>
        <m:r>
          <m:t>p</m:t>
        </m:r>
        <m:r>
          <m:t>o</m:t>
        </m:r>
        <m:r>
          <m:t>s</m:t>
        </m:r>
        <m:r>
          <m:t>u</m:t>
        </m:r>
        <m:r>
          <m:t>r</m:t>
        </m:r>
        <m:r>
          <m:t>e</m:t>
        </m:r>
        <m:r>
          <m:rPr>
            <m:sty m:val="p"/>
          </m:rPr>
          <m:t>(</m:t>
        </m:r>
        <m:r>
          <m:t>a</m:t>
        </m:r>
        <m:r>
          <m:t> </m:t>
        </m:r>
      </m:oMath>
      <w:r>
        <w:t xml:space="preserve">200M headwind) — expect an update on how these are netting out, plus incremental turbine-installation data given the "measure twice, cut once" productivity ramp management has emphasized.</w:t>
      </w:r>
    </w:p>
    <w:p>
      <w:pPr>
        <w:pStyle w:val="BodyText"/>
      </w:pPr>
      <w:r>
        <w:rPr>
          <w:b/>
          <w:bCs/>
        </w:rPr>
        <w:t xml:space="preserve">Data centers / large load:</w:t>
      </w:r>
      <w:r>
        <w:t xml:space="preserve"> </w:t>
      </w:r>
      <w:r>
        <w:t xml:space="preserve">Dominion has flagged</w:t>
      </w:r>
      <w:r>
        <w:t xml:space="preserve"> </w:t>
      </w:r>
      <w:r>
        <w:rPr>
          <w:b/>
          <w:bCs/>
        </w:rPr>
        <w:t xml:space="preserve">over 50 GW of data-center capacity in various stages of contracting</w:t>
      </w:r>
      <w:r>
        <w:t xml:space="preserve">, including roughly 10.4 GW under signed electric service agreements, and management said as of Q1 there was "no detectable change" in demand momentum despite broader PJM capacity-market noise. Expect an updated contracting figure and commentary on large-load tariff protections designed to prevent cost-shifting to residential customers.</w:t>
      </w:r>
    </w:p>
    <w:p>
      <w:pPr>
        <w:pStyle w:val="BodyText"/>
      </w:pPr>
      <w:r>
        <w:rPr>
          <w:b/>
          <w:bCs/>
        </w:rPr>
        <w:t xml:space="preserve">Battery storage / capital plan:</w:t>
      </w:r>
      <w:r>
        <w:t xml:space="preserve"> </w:t>
      </w:r>
      <w:r>
        <w:t xml:space="preserve">New Virginia legislation (HB 895/SB 448) raised the mandated storage target to 20 GW by 2045 from 3 GW by 2035 — a potential incremental capital catalyst beyond the existing</w:t>
      </w:r>
      <w:r>
        <w:t xml:space="preserve"> </w:t>
      </w:r>
      <m:oMath>
        <m:r>
          <m:t>65</m:t>
        </m:r>
        <m:r>
          <m:t>B</m:t>
        </m:r>
        <m:r>
          <m:t>f</m:t>
        </m:r>
        <m:r>
          <m:t>i</m:t>
        </m:r>
        <m:r>
          <m:t>v</m:t>
        </m:r>
        <m:r>
          <m:t>e</m:t>
        </m:r>
        <m:r>
          <m:rPr>
            <m:sty m:val="p"/>
          </m:rPr>
          <m:t>−</m:t>
        </m:r>
        <m:r>
          <m:t>y</m:t>
        </m:r>
        <m:r>
          <m:t>e</m:t>
        </m:r>
        <m:r>
          <m:t>a</m:t>
        </m:r>
        <m:r>
          <m:t>r</m:t>
        </m:r>
        <m:r>
          <m:t>p</m:t>
        </m:r>
        <m:r>
          <m:t>l</m:t>
        </m:r>
        <m:r>
          <m:t>a</m:t>
        </m:r>
        <m:r>
          <m:t>n</m:t>
        </m:r>
        <m:r>
          <m:rPr>
            <m:sty m:val="p"/>
          </m:rPr>
          <m:t>(</m:t>
        </m:r>
        <m:r>
          <m:t>w</m:t>
        </m:r>
        <m:r>
          <m:t>h</m:t>
        </m:r>
        <m:r>
          <m:t>i</m:t>
        </m:r>
        <m:r>
          <m:t>c</m:t>
        </m:r>
        <m:r>
          <m:t>h</m:t>
        </m:r>
        <m:r>
          <m:t>a</m:t>
        </m:r>
        <m:r>
          <m:t>l</m:t>
        </m:r>
        <m:r>
          <m:t>r</m:t>
        </m:r>
        <m:r>
          <m:t>e</m:t>
        </m:r>
        <m:r>
          <m:t>a</m:t>
        </m:r>
        <m:r>
          <m:t>d</m:t>
        </m:r>
        <m:r>
          <m:t>y</m:t>
        </m:r>
        <m:r>
          <m:t>i</m:t>
        </m:r>
        <m:r>
          <m:t>n</m:t>
        </m:r>
        <m:r>
          <m:t>c</m:t>
        </m:r>
        <m:r>
          <m:t>l</m:t>
        </m:r>
        <m:r>
          <m:t>u</m:t>
        </m:r>
        <m:r>
          <m:t>d</m:t>
        </m:r>
        <m:r>
          <m:t>e</m:t>
        </m:r>
        <m:r>
          <m:t>s</m:t>
        </m:r>
        <m:r>
          <m:t> </m:t>
        </m:r>
      </m:oMath>
      <w:r>
        <w:t xml:space="preserve">2B for storage). Management has flagged an SCC technical conference and a fall IRP update as the next data points, ahead of the normal Q4 capital-plan refresh.</w:t>
      </w:r>
    </w:p>
    <w:p>
      <w:pPr>
        <w:pStyle w:val="BodyText"/>
      </w:pPr>
      <w:r>
        <w:rPr>
          <w:b/>
          <w:bCs/>
        </w:rPr>
        <w:t xml:space="preserve">Millstone recontracting:</w:t>
      </w:r>
      <w:r>
        <w:t xml:space="preserve"> </w:t>
      </w:r>
      <w:r>
        <w:t xml:space="preserve">Connecticut's zero-carbon RFP process is a swing factor for long-term growth — the current PPA (~55% of output) runs through August 2029, and management indicated it would be willing to contract more than that share, with "increasing clarity" expected later in 2026, plus potential interest from data centers and neighboring New England states.</w:t>
      </w:r>
    </w:p>
    <w:p>
      <w:pPr>
        <w:pStyle w:val="BodyText"/>
      </w:pPr>
      <w:r>
        <w:rPr>
          <w:b/>
          <w:bCs/>
        </w:rPr>
        <w:t xml:space="preserve">Rate cases / regulatory:</w:t>
      </w:r>
      <w:r>
        <w:t xml:space="preserve"> </w:t>
      </w:r>
      <w:r>
        <w:t xml:space="preserve">South Carolina's DESC rate case was moving toward a decision around late June with new rates effective in July; a North Carolina rate case (~$400M of incremental investment) was filed in late April with a decision expected February 2027. Watch for updates on both, plus any commentary on fuel-cost securitization in Virginia.</w:t>
      </w:r>
    </w:p>
    <w:p>
      <w:pPr>
        <w:pStyle w:val="BodyText"/>
      </w:pPr>
      <w:r>
        <w:rPr>
          <w:b/>
          <w:bCs/>
        </w:rPr>
        <w:t xml:space="preserve">Balance sheet:</w:t>
      </w:r>
      <w:r>
        <w:t xml:space="preserve"> </w:t>
      </w:r>
      <w:r>
        <w:t xml:space="preserve">Dominion has maintained FFO-to-debt above the 15% credit target (both full-year 2025 and Q1 LTM), which management called "not a situation where we're ramping over time to get there" — a data point likely to be reiterated given the merger's implication that Dominion Energy Virginia's credit ratings are expected to improve post-close.</w:t>
      </w:r>
    </w:p>
    <w:bookmarkEnd w:id="11"/>
    <w:bookmarkStart w:id="12" w:name="Xf361e7a07bce911143b439db6b5b386b561eccb"/>
    <w:p>
      <w:pPr>
        <w:pStyle w:val="Heading2"/>
      </w:pPr>
      <w:r>
        <w:t xml:space="preserve">4. What Would Move the Stock</w:t>
      </w:r>
    </w:p>
    <w:p>
      <w:pPr>
        <w:pStyle w:val="FirstParagraph"/>
      </w:pPr>
      <w:r>
        <w:t xml:space="preserve">Given the pending-deal dynamic, the market's reaction is likely to hinge more on</w:t>
      </w:r>
      <w:r>
        <w:t xml:space="preserve"> </w:t>
      </w:r>
      <w:r>
        <w:rPr>
          <w:b/>
          <w:bCs/>
        </w:rPr>
        <w:t xml:space="preserve">merger-process signals</w:t>
      </w:r>
      <w:r>
        <w:t xml:space="preserve"> </w:t>
      </w:r>
      <w:r>
        <w:t xml:space="preserve">than on the EPS beat/miss itself:</w:t>
      </w:r>
    </w:p>
    <w:p>
      <w:pPr>
        <w:pStyle w:val="Compact"/>
        <w:numPr>
          <w:ilvl w:val="0"/>
          <w:numId w:val="1003"/>
        </w:numPr>
      </w:pPr>
      <w:r>
        <w:t xml:space="preserve">Any commentary suggesting risk to Virginia SCC, FERC, or NRC approval timing, or unexpected conditions/"burdensome conditions" language, would widen the arb spread and pressure D shares independent of the quarter's results.</w:t>
      </w:r>
    </w:p>
    <w:p>
      <w:pPr>
        <w:pStyle w:val="Compact"/>
        <w:numPr>
          <w:ilvl w:val="0"/>
          <w:numId w:val="1003"/>
        </w:numPr>
      </w:pPr>
      <w:r>
        <w:t xml:space="preserve">Confirmation of the early-September special shareholder meeting date and no change to the 12-18 month/H2 2027 closing target would be reassuring.</w:t>
      </w:r>
    </w:p>
    <w:p>
      <w:pPr>
        <w:pStyle w:val="Compact"/>
        <w:numPr>
          <w:ilvl w:val="0"/>
          <w:numId w:val="1003"/>
        </w:numPr>
      </w:pPr>
      <w:r>
        <w:t xml:space="preserve">On the fundamental side, reaffirmation of full-year guidance and continued CVOW schedule/cost discipline would support the view that Dominion is executing cleanly into the transaction — reducing "walk-away" or re-trade risk on NextEra's side.</w:t>
      </w:r>
    </w:p>
    <w:p>
      <w:pPr>
        <w:pStyle w:val="Compact"/>
        <w:numPr>
          <w:ilvl w:val="0"/>
          <w:numId w:val="1003"/>
        </w:numPr>
      </w:pPr>
      <w:r>
        <w:t xml:space="preserve">Any incremental detail on Millstone, battery-storage capital acceleration, or data-center contracting growth would matter more for the standalone growth algorithm NextEra is acquiring than for near-term price action, but could still support the bull case that the combined company's 9%+ EPS growth and 11% regulatory-capital-employed growth targets through 2032 are credible.</w:t>
      </w:r>
    </w:p>
    <w:p>
      <w:r>
        <w:pict>
          <v:rect style="width:0;height:1.5pt" o:hralign="center" o:hrstd="t" o:hr="t"/>
        </w:pict>
      </w:r>
    </w:p>
    <w:p>
      <w:pPr>
        <w:pStyle w:val="FirstParagraph"/>
      </w:pPr>
      <w:r>
        <w:rPr>
          <w:b/>
          <w:bCs/>
        </w:rPr>
        <w:t xml:space="preserve">Bottom line:</w:t>
      </w:r>
      <w:r>
        <w:t xml:space="preserve"> </w:t>
      </w:r>
      <w:r>
        <w:t xml:space="preserve">Dominion should deliver another solid, guidance-consistent quarter (op EPS around $0.78, full-year framework of</w:t>
      </w:r>
      <w:r>
        <w:t xml:space="preserve"> </w:t>
      </w:r>
      <m:oMath>
        <m:r>
          <m:t>3.45</m:t>
        </m:r>
        <m:r>
          <m:rPr>
            <m:sty m:val="p"/>
          </m:rPr>
          <m:t>−</m:t>
        </m:r>
      </m:oMath>
      <w:r>
        <w:t xml:space="preserve">3.69 intact), but the real story for investors is the NextEra merger's regulatory and shareholder-vote choreography — the Virginia SCC's six-month statutory clock (started July 15), the S-4's effectiveness (July 23), and early-September special meetings are the checkpoints that will matter most for the stock between now and the H2 2027 targeted close.</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2026-07-31T00:43:17Z</dcterms:created>
  <dcterms:modified xsi:type="dcterms:W3CDTF">2026-07-31T00:43:17Z</dcterms:modified>
</cp:coreProperties>
</file>

<file path=docProps/custom.xml><?xml version="1.0" encoding="utf-8"?>
<Properties xmlns="http://schemas.openxmlformats.org/officeDocument/2006/custom-properties" xmlns:vt="http://schemas.openxmlformats.org/officeDocument/2006/docPropsVTypes"/>
</file>