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abdce42bece287e5d46e5e450a5ffa06c04e6cd"/>
    <w:p>
      <w:pPr>
        <w:pStyle w:val="Heading1"/>
      </w:pPr>
      <w:r>
        <w:t xml:space="preserve">Dominion Energy (NYSE: D) — Q2 2026 Earnings Preview</w:t>
      </w:r>
    </w:p>
    <w:p>
      <w:pPr>
        <w:pStyle w:val="BlockText"/>
      </w:pPr>
      <w:r>
        <w:rPr>
          <w:b/>
          <w:bCs/>
        </w:rPr>
        <w:t xml:space="preserve">Timing clarification:</w:t>
      </w:r>
      <w:r>
        <w:t xml:space="preserve"> </w:t>
      </w:r>
      <w:r>
        <w:t xml:space="preserve">Dominion’s Q2 earnings call is scheduled for</w:t>
      </w:r>
      <w:r>
        <w:t xml:space="preserve"> </w:t>
      </w:r>
      <w:r>
        <w:rPr>
          <w:b/>
          <w:bCs/>
        </w:rPr>
        <w:t xml:space="preserve">11:00 a.m. ET today, Friday, July 31, 2026</w:t>
      </w:r>
      <w:r>
        <w:t xml:space="preserve">—not tomorrow. (</w:t>
      </w:r>
      <w:hyperlink r:id="rId9">
        <w:r>
          <w:rPr>
            <w:rStyle w:val="Hyperlink"/>
          </w:rPr>
          <w:t xml:space="preserve">investors.dominionenergy.com</w:t>
        </w:r>
      </w:hyperlink>
      <w:r>
        <w:t xml:space="preserve">)</w:t>
      </w:r>
    </w:p>
    <w:bookmarkStart w:id="10" w:name="investment-setup"/>
    <w:p>
      <w:pPr>
        <w:pStyle w:val="Heading2"/>
      </w:pPr>
      <w:r>
        <w:t xml:space="preserve">Investment setup</w:t>
      </w:r>
    </w:p>
    <w:p>
      <w:pPr>
        <w:pStyle w:val="FirstParagraph"/>
      </w:pPr>
      <w:r>
        <w:t xml:space="preserve">This report is unlikely to trade primarily on whether Dominion beats quarterly EPS by a few cents. The more consequential issues are:</w:t>
      </w:r>
    </w:p>
    <w:p>
      <w:pPr>
        <w:pStyle w:val="Compact"/>
        <w:numPr>
          <w:ilvl w:val="0"/>
          <w:numId w:val="1001"/>
        </w:numPr>
      </w:pPr>
      <w:r>
        <w:rPr>
          <w:b/>
          <w:bCs/>
        </w:rPr>
        <w:t xml:space="preserve">Execution and cost control at Coastal Virginia Offshore Wind (CVOW)</w:t>
      </w:r>
    </w:p>
    <w:p>
      <w:pPr>
        <w:pStyle w:val="Compact"/>
        <w:numPr>
          <w:ilvl w:val="0"/>
          <w:numId w:val="1001"/>
        </w:numPr>
      </w:pPr>
      <w:r>
        <w:rPr>
          <w:b/>
          <w:bCs/>
        </w:rPr>
        <w:t xml:space="preserve">Progress toward completing the NextEra Energy merger</w:t>
      </w:r>
    </w:p>
    <w:p>
      <w:pPr>
        <w:pStyle w:val="Compact"/>
        <w:numPr>
          <w:ilvl w:val="0"/>
          <w:numId w:val="1001"/>
        </w:numPr>
      </w:pPr>
      <w:r>
        <w:rPr>
          <w:b/>
          <w:bCs/>
        </w:rPr>
        <w:t xml:space="preserve">Confidence in 2026 earnings guidance and the financing plan</w:t>
      </w:r>
    </w:p>
    <w:p>
      <w:pPr>
        <w:pStyle w:val="Compact"/>
        <w:numPr>
          <w:ilvl w:val="0"/>
          <w:numId w:val="1001"/>
        </w:numPr>
      </w:pPr>
      <w:r>
        <w:rPr>
          <w:b/>
          <w:bCs/>
        </w:rPr>
        <w:t xml:space="preserve">Data-center demand and the capital needed to serve it</w:t>
      </w:r>
    </w:p>
    <w:p>
      <w:pPr>
        <w:pStyle w:val="Compact"/>
        <w:numPr>
          <w:ilvl w:val="0"/>
          <w:numId w:val="1001"/>
        </w:numPr>
      </w:pPr>
      <w:r>
        <w:rPr>
          <w:b/>
          <w:bCs/>
        </w:rPr>
        <w:t xml:space="preserve">Regulatory outcomes in Virginia, South Carolina and North Carolina</w:t>
      </w:r>
    </w:p>
    <w:p>
      <w:pPr>
        <w:pStyle w:val="Compact"/>
        <w:numPr>
          <w:ilvl w:val="0"/>
          <w:numId w:val="1001"/>
        </w:numPr>
      </w:pPr>
      <w:r>
        <w:rPr>
          <w:b/>
          <w:bCs/>
        </w:rPr>
        <w:t xml:space="preserve">The potential recontracting of Millstone</w:t>
      </w:r>
    </w:p>
    <w:p>
      <w:pPr>
        <w:pStyle w:val="FirstParagraph"/>
      </w:pPr>
      <w:r>
        <w:t xml:space="preserve">The central question is whether Dominion can keep executing its standalone plan while navigating a lengthy, highly regulated merger process.</w:t>
      </w:r>
    </w:p>
    <w:p>
      <w:r>
        <w:pict>
          <v:rect style="width:0;height:1.5pt" o:hralign="center" o:hrstd="t" o:hr="t"/>
        </w:pict>
      </w:r>
    </w:p>
    <w:bookmarkEnd w:id="10"/>
    <w:bookmarkStart w:id="13"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Expectation / prior result</w:t>
            </w:r>
          </w:p>
        </w:tc>
      </w:tr>
      <w:tr>
        <w:tc>
          <w:tcPr/>
          <w:p>
            <w:pPr>
              <w:pStyle w:val="Compact"/>
            </w:pPr>
            <w:r>
              <w:t xml:space="preserve">Q2 operating EPS consensus</w:t>
            </w:r>
          </w:p>
        </w:tc>
        <w:tc>
          <w:tcPr/>
          <w:p>
            <w:pPr>
              <w:pStyle w:val="Compact"/>
              <w:jc w:val="right"/>
            </w:pPr>
            <w:r>
              <w:rPr>
                <w:b/>
                <w:bCs/>
              </w:rPr>
              <w:t xml:space="preserve">Approximately $0.78</w:t>
            </w:r>
          </w:p>
        </w:tc>
      </w:tr>
      <w:tr>
        <w:tc>
          <w:tcPr/>
          <w:p>
            <w:pPr>
              <w:pStyle w:val="Compact"/>
            </w:pPr>
            <w:r>
              <w:t xml:space="preserve">Q2 2025 operating EPS</w:t>
            </w:r>
          </w:p>
        </w:tc>
        <w:tc>
          <w:tcPr/>
          <w:p>
            <w:pPr>
              <w:pStyle w:val="Compact"/>
              <w:jc w:val="right"/>
            </w:pPr>
            <w:r>
              <w:rPr>
                <w:b/>
                <w:bCs/>
              </w:rPr>
              <w:t xml:space="preserve">$0.75</w:t>
            </w:r>
          </w:p>
        </w:tc>
      </w:tr>
      <w:tr>
        <w:tc>
          <w:tcPr/>
          <w:p>
            <w:pPr>
              <w:pStyle w:val="Compact"/>
            </w:pPr>
            <w:r>
              <w:t xml:space="preserve">Q1 2026 operating EPS</w:t>
            </w:r>
          </w:p>
        </w:tc>
        <w:tc>
          <w:tcPr/>
          <w:p>
            <w:pPr>
              <w:pStyle w:val="Compact"/>
              <w:jc w:val="right"/>
            </w:pPr>
            <w:r>
              <w:rPr>
                <w:b/>
                <w:bCs/>
              </w:rPr>
              <w:t xml:space="preserve">$0.95</w:t>
            </w:r>
          </w:p>
        </w:tc>
      </w:tr>
      <w:tr>
        <w:tc>
          <w:tcPr/>
          <w:p>
            <w:pPr>
              <w:pStyle w:val="Compact"/>
            </w:pPr>
            <w:r>
              <w:t xml:space="preserve">FY2026 guidance</w:t>
            </w:r>
          </w:p>
        </w:tc>
        <w:tc>
          <w:tcPr/>
          <w:p>
            <w:pPr>
              <w:pStyle w:val="Compact"/>
              <w:jc w:val="right"/>
            </w:pPr>
            <m:oMath>
              <m:r>
                <m:t>3.45</m:t>
              </m:r>
              <m:r>
                <m:rPr>
                  <m:sty m:val="p"/>
                </m:rPr>
                <m:t>–</m:t>
              </m:r>
            </m:oMath>
            <w:r>
              <w:rPr>
                <w:b/>
                <w:bCs/>
              </w:rPr>
              <w:t xml:space="preserve">3.69</w:t>
            </w:r>
          </w:p>
        </w:tc>
      </w:tr>
      <w:tr>
        <w:tc>
          <w:tcPr/>
          <w:p>
            <w:pPr>
              <w:pStyle w:val="Compact"/>
            </w:pPr>
            <w:r>
              <w:t xml:space="preserve">FY2026 guidance midpoint</w:t>
            </w:r>
          </w:p>
        </w:tc>
        <w:tc>
          <w:tcPr/>
          <w:p>
            <w:pPr>
              <w:pStyle w:val="Compact"/>
              <w:jc w:val="right"/>
            </w:pPr>
            <w:r>
              <w:rPr>
                <w:b/>
                <w:bCs/>
              </w:rPr>
              <w:t xml:space="preserve">$3.57</w:t>
            </w:r>
          </w:p>
        </w:tc>
      </w:tr>
      <w:tr>
        <w:tc>
          <w:tcPr/>
          <w:p>
            <w:pPr>
              <w:pStyle w:val="Compact"/>
            </w:pPr>
            <w:r>
              <w:t xml:space="preserve">Long-term standalone EPS growth target</w:t>
            </w:r>
          </w:p>
        </w:tc>
        <w:tc>
          <w:tcPr/>
          <w:p>
            <w:pPr>
              <w:pStyle w:val="Compact"/>
              <w:jc w:val="right"/>
            </w:pPr>
            <w:r>
              <w:rPr>
                <w:b/>
                <w:bCs/>
              </w:rPr>
              <w:t xml:space="preserve">5%–7% through 2030</w:t>
            </w:r>
          </w:p>
        </w:tc>
      </w:tr>
      <w:tr>
        <w:tc>
          <w:tcPr/>
          <w:p>
            <w:pPr>
              <w:pStyle w:val="Compact"/>
            </w:pPr>
            <w:r>
              <w:t xml:space="preserve">Five-year capital plan</w:t>
            </w:r>
          </w:p>
        </w:tc>
        <w:tc>
          <w:tcPr/>
          <w:p>
            <w:pPr>
              <w:pStyle w:val="Compact"/>
              <w:jc w:val="right"/>
            </w:pPr>
            <w:r>
              <w:rPr>
                <w:b/>
                <w:bCs/>
              </w:rPr>
              <w:t xml:space="preserve">Approximately $65 billion</w:t>
            </w:r>
          </w:p>
        </w:tc>
      </w:tr>
      <w:tr>
        <w:tc>
          <w:tcPr/>
          <w:p>
            <w:pPr>
              <w:pStyle w:val="Compact"/>
            </w:pPr>
            <w:r>
              <w:t xml:space="preserve">2026 dividend indication</w:t>
            </w:r>
          </w:p>
        </w:tc>
        <w:tc>
          <w:tcPr/>
          <w:p>
            <w:pPr>
              <w:pStyle w:val="Compact"/>
              <w:jc w:val="right"/>
            </w:pPr>
            <w:r>
              <w:rPr>
                <w:b/>
                <w:bCs/>
              </w:rPr>
              <w:t xml:space="preserve">$2.67 per share</w:t>
            </w:r>
          </w:p>
        </w:tc>
      </w:tr>
    </w:tbl>
    <w:p>
      <w:pPr>
        <w:pStyle w:val="BodyText"/>
      </w:pPr>
      <w:r>
        <w:t xml:space="preserve">The available consensus is relatively thin—five estimates in one aggregation, ranging from $0.66 to $0.90—so the headline “beat or miss” may be less informative than usual. The average estimate of $0.78 implies about 4% year-over-year growth. (</w:t>
      </w:r>
      <w:hyperlink r:id="rId11">
        <w:r>
          <w:rPr>
            <w:rStyle w:val="Hyperlink"/>
          </w:rPr>
          <w:t xml:space="preserve">barchart.com</w:t>
        </w:r>
      </w:hyperlink>
      <w:r>
        <w:t xml:space="preserve">)</w:t>
      </w:r>
    </w:p>
    <w:p>
      <w:pPr>
        <w:pStyle w:val="BodyText"/>
      </w:pPr>
      <w:r>
        <w:t xml:space="preserve">Dominion began the year with $0.95 of Q1 operating EPS and reaffirmed its $3.57 full-year midpoint. If Q2 lands at $0.78, first-half EPS would be</w:t>
      </w:r>
      <w:r>
        <w:t xml:space="preserve"> </w:t>
      </w:r>
      <m:oMath>
        <m:r>
          <m:t>1.73</m:t>
        </m:r>
        <m:r>
          <m:rPr>
            <m:sty m:val="p"/>
          </m:rPr>
          <m:t>,</m:t>
        </m:r>
        <m:r>
          <m:t>l</m:t>
        </m:r>
        <m:r>
          <m:t>e</m:t>
        </m:r>
        <m:r>
          <m:t>a</m:t>
        </m:r>
        <m:r>
          <m:t>v</m:t>
        </m:r>
        <m:r>
          <m:t>i</m:t>
        </m:r>
        <m:r>
          <m:t>n</m:t>
        </m:r>
        <m:r>
          <m:t>g</m:t>
        </m:r>
        <m:r>
          <m:rPr>
            <m:sty m:val="p"/>
          </m:rPr>
          <m:t>*</m:t>
        </m:r>
        <m:r>
          <m:rPr>
            <m:sty m:val="p"/>
          </m:rPr>
          <m:t>*</m:t>
        </m:r>
      </m:oMath>
      <w:r>
        <w:t xml:space="preserve">1.84 required in the second half** to reach the midpoint—roughly 6% above the $1.74 earned in the second half of 2025. That appears achievable, but leaves limited room for project delays, adverse weather, financing pressure or weaker operations. (</w:t>
      </w:r>
      <w:hyperlink r:id="rId12">
        <w:r>
          <w:rPr>
            <w:rStyle w:val="Hyperlink"/>
          </w:rPr>
          <w:t xml:space="preserve">sec.gov</w:t>
        </w:r>
      </w:hyperlink>
      <w:r>
        <w:t xml:space="preserve">)</w:t>
      </w:r>
    </w:p>
    <w:p>
      <w:r>
        <w:pict>
          <v:rect style="width:0;height:1.5pt" o:hralign="center" o:hrstd="t" o:hr="t"/>
        </w:pict>
      </w:r>
    </w:p>
    <w:bookmarkEnd w:id="13"/>
    <w:bookmarkStart w:id="16" w:name="Xf5d8d29f27516d6f180ca4a7c9c23fb8d770f9d"/>
    <w:p>
      <w:pPr>
        <w:pStyle w:val="Heading2"/>
      </w:pPr>
      <w:r>
        <w:t xml:space="preserve">1. CVOW is the most important operational update</w:t>
      </w:r>
    </w:p>
    <w:p>
      <w:pPr>
        <w:pStyle w:val="FirstParagraph"/>
      </w:pPr>
      <w:r>
        <w:t xml:space="preserve">At the May earnings call, Dominion said CVOW was approximately 75% complete. Nine of 176 turbines were counted as installed as of April 30, with the last four base installations averaging approximately two days per turbine. Management continued to target:</w:t>
      </w:r>
    </w:p>
    <w:p>
      <w:pPr>
        <w:pStyle w:val="Compact"/>
        <w:numPr>
          <w:ilvl w:val="0"/>
          <w:numId w:val="1002"/>
        </w:numPr>
      </w:pPr>
      <w:r>
        <w:t xml:space="preserve">At least 89 turbines in service by year-end 2026</w:t>
      </w:r>
    </w:p>
    <w:p>
      <w:pPr>
        <w:pStyle w:val="Compact"/>
        <w:numPr>
          <w:ilvl w:val="0"/>
          <w:numId w:val="1002"/>
        </w:numPr>
      </w:pPr>
      <w:r>
        <w:t xml:space="preserve">All 176 turbines installed before the end of June 2027</w:t>
      </w:r>
    </w:p>
    <w:p>
      <w:pPr>
        <w:pStyle w:val="Compact"/>
        <w:numPr>
          <w:ilvl w:val="0"/>
          <w:numId w:val="1002"/>
        </w:numPr>
      </w:pPr>
      <w:r>
        <w:t xml:space="preserve">A total project budget of</w:t>
      </w:r>
      <w:r>
        <w:t xml:space="preserve"> </w:t>
      </w:r>
      <w:r>
        <w:rPr>
          <w:b/>
          <w:bCs/>
        </w:rPr>
        <w:t xml:space="preserve">$11.4 billion</w:t>
      </w:r>
    </w:p>
    <w:p>
      <w:pPr>
        <w:pStyle w:val="Compact"/>
        <w:numPr>
          <w:ilvl w:val="0"/>
          <w:numId w:val="1002"/>
        </w:numPr>
      </w:pPr>
      <w:r>
        <w:rPr>
          <w:b/>
          <w:bCs/>
        </w:rPr>
        <w:t xml:space="preserve">$123 million of unused contingency</w:t>
      </w:r>
    </w:p>
    <w:p>
      <w:pPr>
        <w:pStyle w:val="Compact"/>
        <w:numPr>
          <w:ilvl w:val="0"/>
          <w:numId w:val="1002"/>
        </w:numPr>
      </w:pPr>
      <w:r>
        <w:t xml:space="preserve">Approximately</w:t>
      </w:r>
      <w:r>
        <w:t xml:space="preserve"> </w:t>
      </w:r>
      <w:r>
        <w:rPr>
          <w:b/>
          <w:bCs/>
        </w:rPr>
        <w:t xml:space="preserve">$2 billion of remaining project costs</w:t>
      </w:r>
      <w:r>
        <w:t xml:space="preserve">, about half of which was expected to be funded by Stonepeak (</w:t>
      </w:r>
      <w:hyperlink r:id="rId14">
        <w:r>
          <w:rPr>
            <w:rStyle w:val="Hyperlink"/>
          </w:rPr>
          <w:t xml:space="preserve">s2.q4cdn.com</w:t>
        </w:r>
      </w:hyperlink>
      <w:r>
        <w:t xml:space="preserve">)</w:t>
      </w:r>
    </w:p>
    <w:bookmarkStart w:id="15" w:name="what-investors-should-want-to-see"/>
    <w:p>
      <w:pPr>
        <w:pStyle w:val="Heading3"/>
      </w:pPr>
      <w:r>
        <w:t xml:space="preserve">What investors should want to see</w:t>
      </w:r>
    </w:p>
    <w:p>
      <w:pPr>
        <w:pStyle w:val="Compact"/>
        <w:numPr>
          <w:ilvl w:val="0"/>
          <w:numId w:val="1003"/>
        </w:numPr>
      </w:pPr>
      <w:r>
        <w:t xml:space="preserve">A substantial increase in completed turbines</w:t>
      </w:r>
    </w:p>
    <w:p>
      <w:pPr>
        <w:pStyle w:val="Compact"/>
        <w:numPr>
          <w:ilvl w:val="0"/>
          <w:numId w:val="1003"/>
        </w:numPr>
      </w:pPr>
      <w:r>
        <w:t xml:space="preserve">Installation cadence holding near—or improving from—the May update</w:t>
      </w:r>
    </w:p>
    <w:p>
      <w:pPr>
        <w:pStyle w:val="Compact"/>
        <w:numPr>
          <w:ilvl w:val="0"/>
          <w:numId w:val="1003"/>
        </w:numPr>
      </w:pPr>
      <w:r>
        <w:t xml:space="preserve">No deterioration in the completion timetable</w:t>
      </w:r>
    </w:p>
    <w:p>
      <w:pPr>
        <w:pStyle w:val="Compact"/>
        <w:numPr>
          <w:ilvl w:val="0"/>
          <w:numId w:val="1003"/>
        </w:numPr>
      </w:pPr>
      <w:r>
        <w:t xml:space="preserve">The $11.4 billion budget maintained</w:t>
      </w:r>
    </w:p>
    <w:p>
      <w:pPr>
        <w:pStyle w:val="Compact"/>
        <w:numPr>
          <w:ilvl w:val="0"/>
          <w:numId w:val="1003"/>
        </w:numPr>
      </w:pPr>
      <w:r>
        <w:t xml:space="preserve">Limited use of the remaining contingency</w:t>
      </w:r>
    </w:p>
    <w:p>
      <w:pPr>
        <w:pStyle w:val="Compact"/>
        <w:numPr>
          <w:ilvl w:val="0"/>
          <w:numId w:val="1003"/>
        </w:numPr>
      </w:pPr>
      <w:r>
        <w:t xml:space="preserve">Better visibility into tariff exposure and potential PJM transmission-cost reductions</w:t>
      </w:r>
    </w:p>
    <w:p>
      <w:pPr>
        <w:pStyle w:val="FirstParagraph"/>
      </w:pPr>
      <w:r>
        <w:t xml:space="preserve">The contingency represented only about 6% of remaining costs as of May. That makes the schedule update more important than the percentage-complete figure: delays can add charter, labor and logistics costs quickly.</w:t>
      </w:r>
    </w:p>
    <w:p>
      <w:pPr>
        <w:pStyle w:val="BodyText"/>
      </w:pPr>
      <w:r>
        <w:rPr>
          <w:b/>
          <w:bCs/>
        </w:rPr>
        <w:t xml:space="preserve">Best-case outcome:</w:t>
      </w:r>
      <w:r>
        <w:t xml:space="preserve"> </w:t>
      </w:r>
      <w:r>
        <w:t xml:space="preserve">Turbine installation has accelerated through the summer weather window, the majority-by-year-end target looks increasingly conservative, and the budget remains unchanged or declines.</w:t>
      </w:r>
    </w:p>
    <w:p>
      <w:pPr>
        <w:pStyle w:val="BodyText"/>
      </w:pPr>
      <w:r>
        <w:rPr>
          <w:b/>
          <w:bCs/>
        </w:rPr>
        <w:t xml:space="preserve">Red flag:</w:t>
      </w:r>
      <w:r>
        <w:t xml:space="preserve"> </w:t>
      </w:r>
      <w:r>
        <w:t xml:space="preserve">Management pushes more installations into 2027, materially reduces contingency, or discusses a credible risk of work extending beyond June 2027.</w:t>
      </w:r>
    </w:p>
    <w:p>
      <w:r>
        <w:pict>
          <v:rect style="width:0;height:1.5pt" o:hralign="center" o:hrstd="t" o:hr="t"/>
        </w:pict>
      </w:r>
    </w:p>
    <w:bookmarkEnd w:id="15"/>
    <w:bookmarkEnd w:id="16"/>
    <w:bookmarkStart w:id="20" w:name="X099f0d7122eab280ea827a0bcd00c3c9fd42a99"/>
    <w:p>
      <w:pPr>
        <w:pStyle w:val="Heading2"/>
      </w:pPr>
      <w:r>
        <w:t xml:space="preserve">2. The stock is now partly a NextEra merger security</w:t>
      </w:r>
    </w:p>
    <w:p>
      <w:pPr>
        <w:pStyle w:val="FirstParagraph"/>
      </w:pPr>
      <w:r>
        <w:t xml:space="preserve">NextEra agreed to issue</w:t>
      </w:r>
      <w:r>
        <w:t xml:space="preserve"> </w:t>
      </w:r>
      <w:r>
        <w:rPr>
          <w:b/>
          <w:bCs/>
        </w:rPr>
        <w:t xml:space="preserve">0.8138 NEE shares for each D share</w:t>
      </w:r>
      <w:r>
        <w:t xml:space="preserve">, plus an aggregate</w:t>
      </w:r>
      <w:r>
        <w:t xml:space="preserve"> </w:t>
      </w:r>
      <w:r>
        <w:rPr>
          <w:b/>
          <w:bCs/>
        </w:rPr>
        <w:t xml:space="preserve">$360 million cash payment</w:t>
      </w:r>
      <w:r>
        <w:t xml:space="preserve"> </w:t>
      </w:r>
      <w:r>
        <w:t xml:space="preserve">at closing. Dominion shareholders are also expected to continue receiving Dominion’s existing quarterly dividend through the close. The parties initially projected a 12-to-18-month approval process. (</w:t>
      </w:r>
      <w:hyperlink r:id="rId17">
        <w:r>
          <w:rPr>
            <w:rStyle w:val="Hyperlink"/>
          </w:rPr>
          <w:t xml:space="preserve">news.dominionenergy.com</w:t>
        </w:r>
      </w:hyperlink>
      <w:r>
        <w:t xml:space="preserve">)</w:t>
      </w:r>
    </w:p>
    <w:p>
      <w:pPr>
        <w:pStyle w:val="BodyText"/>
      </w:pPr>
      <w:r>
        <w:t xml:space="preserve">Using the July 30 closing prices of $87.95 for NEE and</w:t>
      </w:r>
      <w:r>
        <w:t xml:space="preserve"> </w:t>
      </w:r>
      <m:oMath>
        <m:r>
          <m:t>69.75</m:t>
        </m:r>
        <m:r>
          <m:t>f</m:t>
        </m:r>
        <m:r>
          <m:t>o</m:t>
        </m:r>
        <m:r>
          <m:t>r</m:t>
        </m:r>
        <m:r>
          <m:t>D</m:t>
        </m:r>
        <m:r>
          <m:rPr>
            <m:sty m:val="p"/>
          </m:rPr>
          <m:t>,</m:t>
        </m:r>
        <m:r>
          <m:t>t</m:t>
        </m:r>
        <m:r>
          <m:t>h</m:t>
        </m:r>
        <m:r>
          <m:t>e</m:t>
        </m:r>
        <m:r>
          <m:t>s</m:t>
        </m:r>
        <m:r>
          <m:t>t</m:t>
        </m:r>
        <m:r>
          <m:t>o</m:t>
        </m:r>
        <m:r>
          <m:t>c</m:t>
        </m:r>
        <m:r>
          <m:t>k</m:t>
        </m:r>
        <m:r>
          <m:t>c</m:t>
        </m:r>
        <m:r>
          <m:t>o</m:t>
        </m:r>
        <m:r>
          <m:t>n</m:t>
        </m:r>
        <m:r>
          <m:t>s</m:t>
        </m:r>
        <m:r>
          <m:t>i</m:t>
        </m:r>
        <m:r>
          <m:t>d</m:t>
        </m:r>
        <m:r>
          <m:t>e</m:t>
        </m:r>
        <m:r>
          <m:t>r</m:t>
        </m:r>
        <m:r>
          <m:t>a</m:t>
        </m:r>
        <m:r>
          <m:t>t</m:t>
        </m:r>
        <m:r>
          <m:t>i</m:t>
        </m:r>
        <m:r>
          <m:t>o</m:t>
        </m:r>
        <m:r>
          <m:t>n</m:t>
        </m:r>
        <m:r>
          <m:t>w</m:t>
        </m:r>
        <m:r>
          <m:t>a</m:t>
        </m:r>
        <m:r>
          <m:t>s</m:t>
        </m:r>
        <m:r>
          <m:t>w</m:t>
        </m:r>
        <m:r>
          <m:t>o</m:t>
        </m:r>
        <m:r>
          <m:t>r</m:t>
        </m:r>
        <m:r>
          <m:t>t</m:t>
        </m:r>
        <m:r>
          <m:t>h</m:t>
        </m:r>
        <m:r>
          <m:t>a</m:t>
        </m:r>
        <m:r>
          <m:t>p</m:t>
        </m:r>
        <m:r>
          <m:t>p</m:t>
        </m:r>
        <m:r>
          <m:t>r</m:t>
        </m:r>
        <m:r>
          <m:t>o</m:t>
        </m:r>
        <m:r>
          <m:t>x</m:t>
        </m:r>
        <m:r>
          <m:t>i</m:t>
        </m:r>
        <m:r>
          <m:t>m</m:t>
        </m:r>
        <m:r>
          <m:t>a</m:t>
        </m:r>
        <m:r>
          <m:t>t</m:t>
        </m:r>
        <m:r>
          <m:t>e</m:t>
        </m:r>
        <m:r>
          <m:t>l</m:t>
        </m:r>
        <m:r>
          <m:t>y</m:t>
        </m:r>
        <m:r>
          <m:rPr>
            <m:sty m:val="p"/>
          </m:rPr>
          <m:t>*</m:t>
        </m:r>
        <m:r>
          <m:rPr>
            <m:sty m:val="p"/>
          </m:rPr>
          <m:t>*</m:t>
        </m:r>
      </m:oMath>
      <w:r>
        <w:t xml:space="preserve">71.57 per D share**. Including an estimated roughly</w:t>
      </w:r>
      <w:r>
        <w:t xml:space="preserve"> </w:t>
      </w:r>
      <m:oMath>
        <m:r>
          <m:t>0.41</m:t>
        </m:r>
        <m:r>
          <m:rPr>
            <m:sty m:val="p"/>
          </m:rPr>
          <m:t>−</m:t>
        </m:r>
        <m:r>
          <m:t>p</m:t>
        </m:r>
        <m:r>
          <m:t>e</m:t>
        </m:r>
        <m:r>
          <m:t>r</m:t>
        </m:r>
        <m:r>
          <m:rPr>
            <m:sty m:val="p"/>
          </m:rPr>
          <m:t>−</m:t>
        </m:r>
        <m:r>
          <m:t>s</m:t>
        </m:r>
        <m:r>
          <m:t>h</m:t>
        </m:r>
        <m:r>
          <m:t>a</m:t>
        </m:r>
        <m:r>
          <m:t>r</m:t>
        </m:r>
        <m:r>
          <m:t>e</m:t>
        </m:r>
        <m:r>
          <m:t>p</m:t>
        </m:r>
        <m:r>
          <m:t>o</m:t>
        </m:r>
        <m:r>
          <m:t>r</m:t>
        </m:r>
        <m:r>
          <m:t>t</m:t>
        </m:r>
        <m:r>
          <m:t>i</m:t>
        </m:r>
        <m:r>
          <m:t>o</m:t>
        </m:r>
        <m:r>
          <m:t>n</m:t>
        </m:r>
        <m:r>
          <m:t>o</m:t>
        </m:r>
        <m:r>
          <m:t>f</m:t>
        </m:r>
        <m:r>
          <m:t>t</m:t>
        </m:r>
        <m:r>
          <m:t>h</m:t>
        </m:r>
        <m:r>
          <m:t>e</m:t>
        </m:r>
        <m:r>
          <m:t>c</m:t>
        </m:r>
        <m:r>
          <m:t>a</m:t>
        </m:r>
        <m:r>
          <m:t>s</m:t>
        </m:r>
        <m:r>
          <m:t>h</m:t>
        </m:r>
        <m:r>
          <m:t>p</m:t>
        </m:r>
        <m:r>
          <m:t>a</m:t>
        </m:r>
        <m:r>
          <m:t>y</m:t>
        </m:r>
        <m:r>
          <m:t>m</m:t>
        </m:r>
        <m:r>
          <m:t>e</m:t>
        </m:r>
        <m:r>
          <m:t>n</m:t>
        </m:r>
        <m:r>
          <m:t>t</m:t>
        </m:r>
        <m:r>
          <m:t>p</m:t>
        </m:r>
        <m:r>
          <m:t>r</m:t>
        </m:r>
        <m:r>
          <m:t>o</m:t>
        </m:r>
        <m:r>
          <m:t>d</m:t>
        </m:r>
        <m:r>
          <m:t>u</m:t>
        </m:r>
        <m:r>
          <m:t>c</m:t>
        </m:r>
        <m:r>
          <m:t>e</m:t>
        </m:r>
        <m:r>
          <m:t>s</m:t>
        </m:r>
        <m:r>
          <m:t>t</m:t>
        </m:r>
        <m:r>
          <m:t>o</m:t>
        </m:r>
        <m:r>
          <m:t>t</m:t>
        </m:r>
        <m:r>
          <m:t>a</m:t>
        </m:r>
        <m:r>
          <m:t>l</m:t>
        </m:r>
        <m:r>
          <m:t>i</m:t>
        </m:r>
        <m:r>
          <m:t>m</m:t>
        </m:r>
        <m:r>
          <m:t>p</m:t>
        </m:r>
        <m:r>
          <m:t>l</m:t>
        </m:r>
        <m:r>
          <m:t>i</m:t>
        </m:r>
        <m:r>
          <m:t>e</m:t>
        </m:r>
        <m:r>
          <m:t>d</m:t>
        </m:r>
        <m:r>
          <m:t>c</m:t>
        </m:r>
        <m:r>
          <m:t>o</m:t>
        </m:r>
        <m:r>
          <m:t>n</m:t>
        </m:r>
        <m:r>
          <m:t>s</m:t>
        </m:r>
        <m:r>
          <m:t>i</m:t>
        </m:r>
        <m:r>
          <m:t>d</m:t>
        </m:r>
        <m:r>
          <m:t>e</m:t>
        </m:r>
        <m:r>
          <m:t>r</m:t>
        </m:r>
        <m:r>
          <m:t>a</m:t>
        </m:r>
        <m:r>
          <m:t>t</m:t>
        </m:r>
        <m:r>
          <m:t>i</m:t>
        </m:r>
        <m:r>
          <m:t>o</m:t>
        </m:r>
        <m:r>
          <m:t>n</m:t>
        </m:r>
        <m:r>
          <m:t>n</m:t>
        </m:r>
        <m:r>
          <m:t>e</m:t>
        </m:r>
        <m:r>
          <m:t>a</m:t>
        </m:r>
        <m:r>
          <m:t>r</m:t>
        </m:r>
        <m:r>
          <m:rPr>
            <m:sty m:val="p"/>
          </m:rPr>
          <m:t>*</m:t>
        </m:r>
        <m:r>
          <m:rPr>
            <m:sty m:val="p"/>
          </m:rPr>
          <m:t>*</m:t>
        </m:r>
      </m:oMath>
      <w:r>
        <w:t xml:space="preserve">71.98**, or a gross spread of approximately</w:t>
      </w:r>
      <w:r>
        <w:t xml:space="preserve"> </w:t>
      </w:r>
      <w:r>
        <w:rPr>
          <w:b/>
          <w:bCs/>
        </w:rPr>
        <w:t xml:space="preserve">3.2%</w:t>
      </w:r>
      <w:r>
        <w:t xml:space="preserve">.</w:t>
      </w:r>
    </w:p>
    <w:p>
      <w:pPr>
        <w:pStyle w:val="BodyText"/>
      </w:pPr>
      <w:r>
        <w:t xml:space="preserve">That spread is relatively modest for a utility transaction requiring multiple state and federal approvals, but the consideration is mostly stock. Therefore:</w:t>
      </w:r>
    </w:p>
    <w:p>
      <w:pPr>
        <w:pStyle w:val="BlockText"/>
      </w:pPr>
      <w:r>
        <w:rPr>
          <w:b/>
          <w:bCs/>
        </w:rPr>
        <w:t xml:space="preserve">D’s merger value will move directly with NEE’s share price, even if the probability of closing is unchanged.</w:t>
      </w:r>
    </w:p>
    <w:p>
      <w:pPr>
        <w:pStyle w:val="FirstParagraph"/>
      </w:pPr>
      <w:r>
        <w:t xml:space="preserve">NextEra said last week that the companies had filed state applications on July 15, as well as applications with FERC and the NRC. The S-4 became effective on July 23, shareholder votes are expected in early September, and NextEra currently expects the merger to close in the second half of 2027. (</w:t>
      </w:r>
      <w:hyperlink r:id="rId18">
        <w:r>
          <w:rPr>
            <w:rStyle w:val="Hyperlink"/>
          </w:rPr>
          <w:t xml:space="preserve">advfn.com</w:t>
        </w:r>
      </w:hyperlink>
      <w:r>
        <w:t xml:space="preserve">)</w:t>
      </w:r>
    </w:p>
    <w:bookmarkStart w:id="19" w:name="what-to-listen-for"/>
    <w:p>
      <w:pPr>
        <w:pStyle w:val="Heading3"/>
      </w:pPr>
      <w:r>
        <w:t xml:space="preserve">What to listen for</w:t>
      </w:r>
    </w:p>
    <w:p>
      <w:pPr>
        <w:pStyle w:val="Compact"/>
        <w:numPr>
          <w:ilvl w:val="0"/>
          <w:numId w:val="1004"/>
        </w:numPr>
      </w:pPr>
      <w:r>
        <w:t xml:space="preserve">Whether Dominion also explicitly targets a second-half 2027 close</w:t>
      </w:r>
    </w:p>
    <w:p>
      <w:pPr>
        <w:pStyle w:val="Compact"/>
        <w:numPr>
          <w:ilvl w:val="0"/>
          <w:numId w:val="1004"/>
        </w:numPr>
      </w:pPr>
      <w:r>
        <w:t xml:space="preserve">Any initial regulatory concerns or requests for concessions</w:t>
      </w:r>
    </w:p>
    <w:p>
      <w:pPr>
        <w:pStyle w:val="Compact"/>
        <w:numPr>
          <w:ilvl w:val="0"/>
          <w:numId w:val="1004"/>
        </w:numPr>
      </w:pPr>
      <w:r>
        <w:t xml:space="preserve">Whether the proposed</w:t>
      </w:r>
      <w:r>
        <w:t xml:space="preserve"> </w:t>
      </w:r>
      <w:r>
        <w:rPr>
          <w:b/>
          <w:bCs/>
        </w:rPr>
        <w:t xml:space="preserve">$2.25 billion of customer bill credits</w:t>
      </w:r>
      <w:r>
        <w:t xml:space="preserve"> </w:t>
      </w:r>
      <w:r>
        <w:t xml:space="preserve">is sufficient to support state approvals</w:t>
      </w:r>
    </w:p>
    <w:p>
      <w:pPr>
        <w:pStyle w:val="Compact"/>
        <w:numPr>
          <w:ilvl w:val="0"/>
          <w:numId w:val="1004"/>
        </w:numPr>
      </w:pPr>
      <w:r>
        <w:t xml:space="preserve">Whether merger restrictions affect Dominion’s capital deployment, financing or strategic flexibility</w:t>
      </w:r>
    </w:p>
    <w:p>
      <w:pPr>
        <w:pStyle w:val="Compact"/>
        <w:numPr>
          <w:ilvl w:val="0"/>
          <w:numId w:val="1004"/>
        </w:numPr>
      </w:pPr>
      <w:r>
        <w:t xml:space="preserve">Whether litigation around the transaction is considered routine or potentially disruptive</w:t>
      </w:r>
    </w:p>
    <w:p>
      <w:pPr>
        <w:pStyle w:val="FirstParagraph"/>
      </w:pPr>
      <w:r>
        <w:t xml:space="preserve">A clean merger update should be supportive, but a small earnings beat will not compensate for evidence that regulatory approval is becoming more difficult.</w:t>
      </w:r>
    </w:p>
    <w:p>
      <w:r>
        <w:pict>
          <v:rect style="width:0;height:1.5pt" o:hralign="center" o:hrstd="t" o:hr="t"/>
        </w:pict>
      </w:r>
    </w:p>
    <w:bookmarkEnd w:id="19"/>
    <w:bookmarkEnd w:id="20"/>
    <w:bookmarkStart w:id="22" w:name="Xd0fa25299adbbe9b09e8854294daad8895de1be"/>
    <w:p>
      <w:pPr>
        <w:pStyle w:val="Heading2"/>
      </w:pPr>
      <w:r>
        <w:t xml:space="preserve">3. Guidance matters more than Q2 EPS</w:t>
      </w:r>
    </w:p>
    <w:p>
      <w:pPr>
        <w:pStyle w:val="FirstParagraph"/>
      </w:pPr>
      <w:r>
        <w:t xml:space="preserve">Dominion’s May guidance called for:</w:t>
      </w:r>
    </w:p>
    <w:p>
      <w:pPr>
        <w:pStyle w:val="Compact"/>
        <w:numPr>
          <w:ilvl w:val="0"/>
          <w:numId w:val="1005"/>
        </w:numPr>
      </w:pPr>
      <w:r>
        <w:t xml:space="preserve">2026 operating EPS of</w:t>
      </w:r>
      <w:r>
        <w:t xml:space="preserve"> </w:t>
      </w:r>
      <m:oMath>
        <m:r>
          <m:t>3.45</m:t>
        </m:r>
        <m:r>
          <m:rPr>
            <m:sty m:val="p"/>
          </m:rPr>
          <m:t>–</m:t>
        </m:r>
      </m:oMath>
      <w:r>
        <w:rPr>
          <w:b/>
          <w:bCs/>
        </w:rPr>
        <w:t xml:space="preserve">3.69</w:t>
      </w:r>
    </w:p>
    <w:p>
      <w:pPr>
        <w:pStyle w:val="Compact"/>
        <w:numPr>
          <w:ilvl w:val="0"/>
          <w:numId w:val="1005"/>
        </w:numPr>
      </w:pPr>
      <w:r>
        <w:t xml:space="preserve">Midpoint growth within the company’s</w:t>
      </w:r>
      <w:r>
        <w:t xml:space="preserve"> </w:t>
      </w:r>
      <w:r>
        <w:rPr>
          <w:b/>
          <w:bCs/>
        </w:rPr>
        <w:t xml:space="preserve">5%–7%</w:t>
      </w:r>
      <w:r>
        <w:t xml:space="preserve"> </w:t>
      </w:r>
      <w:r>
        <w:t xml:space="preserve">long-term range</w:t>
      </w:r>
    </w:p>
    <w:p>
      <w:pPr>
        <w:pStyle w:val="Compact"/>
        <w:numPr>
          <w:ilvl w:val="0"/>
          <w:numId w:val="1005"/>
        </w:numPr>
      </w:pPr>
      <w:r>
        <w:t xml:space="preserve">A bias toward the upper half of that range beginning in 2028</w:t>
      </w:r>
    </w:p>
    <w:p>
      <w:pPr>
        <w:pStyle w:val="Compact"/>
        <w:numPr>
          <w:ilvl w:val="0"/>
          <w:numId w:val="1005"/>
        </w:numPr>
      </w:pPr>
      <w:r>
        <w:t xml:space="preserve">Approximately</w:t>
      </w:r>
      <w:r>
        <w:t xml:space="preserve"> </w:t>
      </w:r>
      <w:r>
        <w:rPr>
          <w:b/>
          <w:bCs/>
        </w:rPr>
        <w:t xml:space="preserve">$65 billion</w:t>
      </w:r>
      <w:r>
        <w:t xml:space="preserve"> </w:t>
      </w:r>
      <w:r>
        <w:t xml:space="preserve">of investment from 2026 through 2030 (</w:t>
      </w:r>
      <w:hyperlink r:id="rId14">
        <w:r>
          <w:rPr>
            <w:rStyle w:val="Hyperlink"/>
          </w:rPr>
          <w:t xml:space="preserve">s2.q4cdn.com</w:t>
        </w:r>
      </w:hyperlink>
      <w:r>
        <w:t xml:space="preserve">)</w:t>
      </w:r>
    </w:p>
    <w:p>
      <w:pPr>
        <w:pStyle w:val="FirstParagraph"/>
      </w:pPr>
      <w:r>
        <w:t xml:space="preserve">The prior Q2 bridge pointed to benefits from regulated investment, electric rate cases and Charybdis, offset by financing costs, capacity expense, lower nuclear production tax credits, depreciation, O&amp;M, normalized weather and share dilution. (</w:t>
      </w:r>
      <w:hyperlink r:id="rId14">
        <w:r>
          <w:rPr>
            <w:rStyle w:val="Hyperlink"/>
          </w:rPr>
          <w:t xml:space="preserve">s2.q4cdn.com</w:t>
        </w:r>
      </w:hyperlink>
      <w:r>
        <w:t xml:space="preserve">)</w:t>
      </w:r>
    </w:p>
    <w:bookmarkStart w:id="21" w:name="likely-interpretation"/>
    <w:p>
      <w:pPr>
        <w:pStyle w:val="Heading3"/>
      </w:pPr>
      <w:r>
        <w:t xml:space="preserve">Likely interpretation</w:t>
      </w:r>
    </w:p>
    <w:p>
      <w:pPr>
        <w:pStyle w:val="Compact"/>
        <w:numPr>
          <w:ilvl w:val="0"/>
          <w:numId w:val="1006"/>
        </w:numPr>
      </w:pPr>
      <w:r>
        <w:rPr>
          <w:b/>
          <w:bCs/>
        </w:rPr>
        <w:t xml:space="preserve">EPS beat and guidance affirmed:</w:t>
      </w:r>
      <w:r>
        <w:t xml:space="preserve"> </w:t>
      </w:r>
      <w:r>
        <w:t xml:space="preserve">Positive, but probably secondary to CVOW and merger commentary.</w:t>
      </w:r>
    </w:p>
    <w:p>
      <w:pPr>
        <w:pStyle w:val="Compact"/>
        <w:numPr>
          <w:ilvl w:val="0"/>
          <w:numId w:val="1006"/>
        </w:numPr>
      </w:pPr>
      <w:r>
        <w:rPr>
          <w:b/>
          <w:bCs/>
        </w:rPr>
        <w:t xml:space="preserve">EPS miss and guidance affirmed:</w:t>
      </w:r>
      <w:r>
        <w:t xml:space="preserve"> </w:t>
      </w:r>
      <w:r>
        <w:t xml:space="preserve">Potentially acceptable if weather or timing explains the miss.</w:t>
      </w:r>
    </w:p>
    <w:p>
      <w:pPr>
        <w:pStyle w:val="Compact"/>
        <w:numPr>
          <w:ilvl w:val="0"/>
          <w:numId w:val="1006"/>
        </w:numPr>
      </w:pPr>
      <w:r>
        <w:rPr>
          <w:b/>
          <w:bCs/>
        </w:rPr>
        <w:t xml:space="preserve">Guidance midpoint raised:</w:t>
      </w:r>
      <w:r>
        <w:t xml:space="preserve"> </w:t>
      </w:r>
      <w:r>
        <w:t xml:space="preserve">Clearly positive, though less likely while a merger is pending.</w:t>
      </w:r>
    </w:p>
    <w:p>
      <w:pPr>
        <w:pStyle w:val="Compact"/>
        <w:numPr>
          <w:ilvl w:val="0"/>
          <w:numId w:val="1006"/>
        </w:numPr>
      </w:pPr>
      <w:r>
        <w:rPr>
          <w:b/>
          <w:bCs/>
        </w:rPr>
        <w:t xml:space="preserve">Guidance cut:</w:t>
      </w:r>
      <w:r>
        <w:t xml:space="preserve"> </w:t>
      </w:r>
      <w:r>
        <w:t xml:space="preserve">Material negative, particularly if tied to financing, project execution or regulatory assumptions.</w:t>
      </w:r>
    </w:p>
    <w:p>
      <w:pPr>
        <w:pStyle w:val="FirstParagraph"/>
      </w:pPr>
      <w:r>
        <w:t xml:space="preserve">Investors should also distinguish operating EPS from GAAP EPS. Dominion’s reported results can be volatile because of nuclear decommissioning trusts, economic hedges, impairments and other excluded items.</w:t>
      </w:r>
    </w:p>
    <w:p>
      <w:r>
        <w:pict>
          <v:rect style="width:0;height:1.5pt" o:hralign="center" o:hrstd="t" o:hr="t"/>
        </w:pict>
      </w:r>
    </w:p>
    <w:bookmarkEnd w:id="21"/>
    <w:bookmarkEnd w:id="22"/>
    <w:bookmarkStart w:id="23" w:name="X060375ab396f93936c61d5030e84c3c6ed0d343"/>
    <w:p>
      <w:pPr>
        <w:pStyle w:val="Heading2"/>
      </w:pPr>
      <w:r>
        <w:t xml:space="preserve">4. Data-center demand remains the core long-term growth engine</w:t>
      </w:r>
    </w:p>
    <w:p>
      <w:pPr>
        <w:pStyle w:val="FirstParagraph"/>
      </w:pPr>
      <w:r>
        <w:t xml:space="preserve">As of March, Dominion reported approximately</w:t>
      </w:r>
      <w:r>
        <w:t xml:space="preserve"> </w:t>
      </w:r>
      <w:r>
        <w:rPr>
          <w:b/>
          <w:bCs/>
        </w:rPr>
        <w:t xml:space="preserve">51 GW</w:t>
      </w:r>
      <w:r>
        <w:t xml:space="preserve"> </w:t>
      </w:r>
      <w:r>
        <w:t xml:space="preserve">of data-center capacity in various contracting stages:</w:t>
      </w:r>
    </w:p>
    <w:p>
      <w:pPr>
        <w:pStyle w:val="Compact"/>
        <w:numPr>
          <w:ilvl w:val="0"/>
          <w:numId w:val="1007"/>
        </w:numPr>
      </w:pPr>
      <w:r>
        <w:t xml:space="preserve">10.4 GW under electric service agreements</w:t>
      </w:r>
    </w:p>
    <w:p>
      <w:pPr>
        <w:pStyle w:val="Compact"/>
        <w:numPr>
          <w:ilvl w:val="0"/>
          <w:numId w:val="1007"/>
        </w:numPr>
      </w:pPr>
      <w:r>
        <w:t xml:space="preserve">11.1 GW under construction letters of authorization</w:t>
      </w:r>
    </w:p>
    <w:p>
      <w:pPr>
        <w:pStyle w:val="Compact"/>
        <w:numPr>
          <w:ilvl w:val="0"/>
          <w:numId w:val="1007"/>
        </w:numPr>
      </w:pPr>
      <w:r>
        <w:t xml:space="preserve">29.5 GW in detailed engineering stages</w:t>
      </w:r>
    </w:p>
    <w:p>
      <w:pPr>
        <w:pStyle w:val="FirstParagraph"/>
      </w:pPr>
      <w:r>
        <w:t xml:space="preserve">The contractual structure generally requires large customers to reimburse construction costs or support the associated revenue requirement, helping protect residential and smaller commercial customers from stranded infrastructure. (</w:t>
      </w:r>
      <w:hyperlink r:id="rId14">
        <w:r>
          <w:rPr>
            <w:rStyle w:val="Hyperlink"/>
          </w:rPr>
          <w:t xml:space="preserve">s2.q4cdn.com</w:t>
        </w:r>
      </w:hyperlink>
      <w:r>
        <w:t xml:space="preserve">)</w:t>
      </w:r>
    </w:p>
    <w:p>
      <w:pPr>
        <w:pStyle w:val="BodyText"/>
      </w:pPr>
      <w:r>
        <w:t xml:space="preserve">The earnings call should update:</w:t>
      </w:r>
    </w:p>
    <w:p>
      <w:pPr>
        <w:pStyle w:val="Compact"/>
        <w:numPr>
          <w:ilvl w:val="0"/>
          <w:numId w:val="1008"/>
        </w:numPr>
      </w:pPr>
      <w:r>
        <w:t xml:space="preserve">Total pipeline and fully contracted capacity</w:t>
      </w:r>
    </w:p>
    <w:p>
      <w:pPr>
        <w:pStyle w:val="Compact"/>
        <w:numPr>
          <w:ilvl w:val="0"/>
          <w:numId w:val="1008"/>
        </w:numPr>
      </w:pPr>
      <w:r>
        <w:t xml:space="preserve">Expected timing of incremental load</w:t>
      </w:r>
    </w:p>
    <w:p>
      <w:pPr>
        <w:pStyle w:val="Compact"/>
        <w:numPr>
          <w:ilvl w:val="0"/>
          <w:numId w:val="1008"/>
        </w:numPr>
      </w:pPr>
      <w:r>
        <w:t xml:space="preserve">Generation and transmission requirements</w:t>
      </w:r>
    </w:p>
    <w:p>
      <w:pPr>
        <w:pStyle w:val="Compact"/>
        <w:numPr>
          <w:ilvl w:val="0"/>
          <w:numId w:val="1008"/>
        </w:numPr>
      </w:pPr>
      <w:r>
        <w:t xml:space="preserve">Customer deposits, minimum bills and exit protections</w:t>
      </w:r>
    </w:p>
    <w:p>
      <w:pPr>
        <w:pStyle w:val="Compact"/>
        <w:numPr>
          <w:ilvl w:val="0"/>
          <w:numId w:val="1008"/>
        </w:numPr>
      </w:pPr>
      <w:r>
        <w:t xml:space="preserve">Whether Dominion sees any slowing in hyperscaler commitments</w:t>
      </w:r>
    </w:p>
    <w:p>
      <w:pPr>
        <w:pStyle w:val="Compact"/>
        <w:numPr>
          <w:ilvl w:val="0"/>
          <w:numId w:val="1008"/>
        </w:numPr>
      </w:pPr>
      <w:r>
        <w:t xml:space="preserve">How much incremental capital can be funded without weakening credit metrics</w:t>
      </w:r>
    </w:p>
    <w:p>
      <w:pPr>
        <w:pStyle w:val="FirstParagraph"/>
      </w:pPr>
      <w:r>
        <w:t xml:space="preserve">Strong demand is not automatically positive if Dominion must fund infrastructure years before earning returns. The quality, security and timing of the contracts matter as much as the headline gigawatts.</w:t>
      </w:r>
    </w:p>
    <w:p>
      <w:r>
        <w:pict>
          <v:rect style="width:0;height:1.5pt" o:hralign="center" o:hrstd="t" o:hr="t"/>
        </w:pict>
      </w:r>
    </w:p>
    <w:bookmarkEnd w:id="23"/>
    <w:bookmarkStart w:id="29" w:name="X4e4e898f6662b2dd62ef8fe3bea2336b6499779"/>
    <w:p>
      <w:pPr>
        <w:pStyle w:val="Heading2"/>
      </w:pPr>
      <w:r>
        <w:t xml:space="preserve">5. Regulatory and asset-specific items</w:t>
      </w:r>
    </w:p>
    <w:bookmarkStart w:id="25" w:name="south-carolina"/>
    <w:p>
      <w:pPr>
        <w:pStyle w:val="Heading3"/>
      </w:pPr>
      <w:r>
        <w:t xml:space="preserve">South Carolina</w:t>
      </w:r>
    </w:p>
    <w:p>
      <w:pPr>
        <w:pStyle w:val="FirstParagraph"/>
      </w:pPr>
      <w:r>
        <w:t xml:space="preserve">Dominion Energy South Carolina filed a broad rate-case settlement in May, supported or unopposed by nearly all parties. The proposed package included customer credits and affordability measures. Investors need the final allowed revenue requirement, return parameters and timing of rates, particularly because new rates were expected to become effective in July. (</w:t>
      </w:r>
      <w:hyperlink r:id="rId24">
        <w:r>
          <w:rPr>
            <w:rStyle w:val="Hyperlink"/>
          </w:rPr>
          <w:t xml:space="preserve">news.dominionenergy.com</w:t>
        </w:r>
      </w:hyperlink>
      <w:r>
        <w:t xml:space="preserve">)</w:t>
      </w:r>
    </w:p>
    <w:bookmarkEnd w:id="25"/>
    <w:bookmarkStart w:id="26" w:name="north-carolina"/>
    <w:p>
      <w:pPr>
        <w:pStyle w:val="Heading3"/>
      </w:pPr>
      <w:r>
        <w:t xml:space="preserve">North Carolina</w:t>
      </w:r>
    </w:p>
    <w:p>
      <w:pPr>
        <w:pStyle w:val="FirstParagraph"/>
      </w:pPr>
      <w:r>
        <w:t xml:space="preserve">Dominion filed a rate case covering approximately $400 million of investment attributed to North Carolina. The prior schedule contemplated interim rates in December 2026 and a final decision in early 2027. Any merger-related regulatory linkage would be important.</w:t>
      </w:r>
    </w:p>
    <w:bookmarkEnd w:id="26"/>
    <w:bookmarkStart w:id="28" w:name="millstone"/>
    <w:p>
      <w:pPr>
        <w:pStyle w:val="Heading3"/>
      </w:pPr>
      <w:r>
        <w:t xml:space="preserve">Millstone</w:t>
      </w:r>
    </w:p>
    <w:p>
      <w:pPr>
        <w:pStyle w:val="FirstParagraph"/>
      </w:pPr>
      <w:r>
        <w:t xml:space="preserve">Dominion submitted Millstone into Connecticut’s 2026 zero-carbon procurement. The existing contract covers slightly more than half the plant’s output through August 2029. Connecticut designed the new process in coordination with other New England states, but no selection had been publicly announced going into Dominion’s report. (</w:t>
      </w:r>
      <w:hyperlink r:id="rId27">
        <w:r>
          <w:rPr>
            <w:rStyle w:val="Hyperlink"/>
          </w:rPr>
          <w:t xml:space="preserve">portal.ct.gov</w:t>
        </w:r>
      </w:hyperlink>
      <w:r>
        <w:t xml:space="preserve">)</w:t>
      </w:r>
    </w:p>
    <w:p>
      <w:pPr>
        <w:pStyle w:val="BodyText"/>
      </w:pPr>
      <w:r>
        <w:t xml:space="preserve">A favorable recontracting path could provide meaningful upside to the standalone forecast. Conversely, continued uncertainty limits how much value investors should assign today.</w:t>
      </w:r>
    </w:p>
    <w:p>
      <w:r>
        <w:pict>
          <v:rect style="width:0;height:1.5pt" o:hralign="center" o:hrstd="t" o:hr="t"/>
        </w:pict>
      </w:r>
    </w:p>
    <w:bookmarkEnd w:id="28"/>
    <w:bookmarkEnd w:id="29"/>
    <w:bookmarkStart w:id="30" w:name="X39027f2457c086557dacca18dde030a312c9357"/>
    <w:p>
      <w:pPr>
        <w:pStyle w:val="Heading2"/>
      </w:pPr>
      <w:r>
        <w:t xml:space="preserve">6. Balance sheet and financing</w:t>
      </w:r>
    </w:p>
    <w:p>
      <w:pPr>
        <w:pStyle w:val="FirstParagraph"/>
      </w:pPr>
      <w:r>
        <w:t xml:space="preserve">At the May update, Dominion had issued approximately $1.2 billion under its at-the-market equity program and expected another $400 million to $600 million during the balance of 2026. The company also targeted FFO-to-debt above 15% and subsequently issued $1.5 billion of junior subordinated notes in June.</w:t>
      </w:r>
    </w:p>
    <w:p>
      <w:pPr>
        <w:pStyle w:val="BodyText"/>
      </w:pPr>
      <w:r>
        <w:t xml:space="preserve">Key questions include:</w:t>
      </w:r>
    </w:p>
    <w:p>
      <w:pPr>
        <w:pStyle w:val="Compact"/>
        <w:numPr>
          <w:ilvl w:val="0"/>
          <w:numId w:val="1009"/>
        </w:numPr>
      </w:pPr>
      <w:r>
        <w:t xml:space="preserve">Is the remaining 2026 equity requirement unchanged?</w:t>
      </w:r>
    </w:p>
    <w:p>
      <w:pPr>
        <w:pStyle w:val="Compact"/>
        <w:numPr>
          <w:ilvl w:val="0"/>
          <w:numId w:val="1009"/>
        </w:numPr>
      </w:pPr>
      <w:r>
        <w:t xml:space="preserve">Does the pending merger alter the timing or form of financing?</w:t>
      </w:r>
    </w:p>
    <w:p>
      <w:pPr>
        <w:pStyle w:val="Compact"/>
        <w:numPr>
          <w:ilvl w:val="0"/>
          <w:numId w:val="1009"/>
        </w:numPr>
      </w:pPr>
      <w:r>
        <w:t xml:space="preserve">Are credit metrics still comfortably above the company’s threshold?</w:t>
      </w:r>
    </w:p>
    <w:p>
      <w:pPr>
        <w:pStyle w:val="Compact"/>
        <w:numPr>
          <w:ilvl w:val="0"/>
          <w:numId w:val="1009"/>
        </w:numPr>
      </w:pPr>
      <w:r>
        <w:t xml:space="preserve">Has CVOW’s remaining funding requirement changed?</w:t>
      </w:r>
    </w:p>
    <w:p>
      <w:pPr>
        <w:pStyle w:val="Compact"/>
        <w:numPr>
          <w:ilvl w:val="0"/>
          <w:numId w:val="1009"/>
        </w:numPr>
      </w:pPr>
      <w:r>
        <w:t xml:space="preserve">Will merger expenses be excluded from operating earnings?</w:t>
      </w:r>
    </w:p>
    <w:p>
      <w:pPr>
        <w:pStyle w:val="Compact"/>
        <w:numPr>
          <w:ilvl w:val="0"/>
          <w:numId w:val="1009"/>
        </w:numPr>
      </w:pPr>
      <w:r>
        <w:t xml:space="preserve">Can Dominion preserve dividend commitments while funding the capital plan?</w:t>
      </w:r>
    </w:p>
    <w:p>
      <w:pPr>
        <w:pStyle w:val="FirstParagraph"/>
      </w:pPr>
      <w:r>
        <w:t xml:space="preserve">An unchanged financing plan would be reassuring. Additional common equity or weaker credit guidance could pressure the shares even if operating EPS meets consensus.</w:t>
      </w:r>
    </w:p>
    <w:p>
      <w:r>
        <w:pict>
          <v:rect style="width:0;height:1.5pt" o:hralign="center" o:hrstd="t" o:hr="t"/>
        </w:pict>
      </w:r>
    </w:p>
    <w:bookmarkEnd w:id="30"/>
    <w:bookmarkStart w:id="34" w:name="potential-stock-reactions"/>
    <w:p>
      <w:pPr>
        <w:pStyle w:val="Heading2"/>
      </w:pPr>
      <w:r>
        <w:t xml:space="preserve">Potential stock reactions</w:t>
      </w:r>
    </w:p>
    <w:bookmarkStart w:id="31" w:name="bullish-report"/>
    <w:p>
      <w:pPr>
        <w:pStyle w:val="Heading3"/>
      </w:pPr>
      <w:r>
        <w:t xml:space="preserve">Bullish report</w:t>
      </w:r>
    </w:p>
    <w:p>
      <w:pPr>
        <w:pStyle w:val="Compact"/>
        <w:numPr>
          <w:ilvl w:val="0"/>
          <w:numId w:val="1010"/>
        </w:numPr>
      </w:pPr>
      <w:r>
        <w:t xml:space="preserve">Operating EPS at or above roughly $0.78</w:t>
      </w:r>
    </w:p>
    <w:p>
      <w:pPr>
        <w:pStyle w:val="Compact"/>
        <w:numPr>
          <w:ilvl w:val="0"/>
          <w:numId w:val="1010"/>
        </w:numPr>
      </w:pPr>
      <w:r>
        <w:t xml:space="preserve">Full-year midpoint reaffirmed or raised</w:t>
      </w:r>
    </w:p>
    <w:p>
      <w:pPr>
        <w:pStyle w:val="Compact"/>
        <w:numPr>
          <w:ilvl w:val="0"/>
          <w:numId w:val="1010"/>
        </w:numPr>
      </w:pPr>
      <w:r>
        <w:t xml:space="preserve">Strong summer CVOW installation progress</w:t>
      </w:r>
    </w:p>
    <w:p>
      <w:pPr>
        <w:pStyle w:val="Compact"/>
        <w:numPr>
          <w:ilvl w:val="0"/>
          <w:numId w:val="1010"/>
        </w:numPr>
      </w:pPr>
      <w:r>
        <w:t xml:space="preserve">$11.4 billion project budget and June 2027 completion maintained</w:t>
      </w:r>
    </w:p>
    <w:p>
      <w:pPr>
        <w:pStyle w:val="Compact"/>
        <w:numPr>
          <w:ilvl w:val="0"/>
          <w:numId w:val="1010"/>
        </w:numPr>
      </w:pPr>
      <w:r>
        <w:t xml:space="preserve">Merger approvals progressing without new concessions</w:t>
      </w:r>
    </w:p>
    <w:p>
      <w:pPr>
        <w:pStyle w:val="Compact"/>
        <w:numPr>
          <w:ilvl w:val="0"/>
          <w:numId w:val="1010"/>
        </w:numPr>
      </w:pPr>
      <w:r>
        <w:t xml:space="preserve">Data-center contracts continue to expand</w:t>
      </w:r>
    </w:p>
    <w:p>
      <w:pPr>
        <w:pStyle w:val="Compact"/>
        <w:numPr>
          <w:ilvl w:val="0"/>
          <w:numId w:val="1010"/>
        </w:numPr>
      </w:pPr>
      <w:r>
        <w:t xml:space="preserve">No increase in equity needs</w:t>
      </w:r>
    </w:p>
    <w:bookmarkEnd w:id="31"/>
    <w:bookmarkStart w:id="32" w:name="neutral-report"/>
    <w:p>
      <w:pPr>
        <w:pStyle w:val="Heading3"/>
      </w:pPr>
      <w:r>
        <w:t xml:space="preserve">Neutral report</w:t>
      </w:r>
    </w:p>
    <w:p>
      <w:pPr>
        <w:pStyle w:val="Compact"/>
        <w:numPr>
          <w:ilvl w:val="0"/>
          <w:numId w:val="1011"/>
        </w:numPr>
      </w:pPr>
      <w:r>
        <w:t xml:space="preserve">EPS near consensus</w:t>
      </w:r>
    </w:p>
    <w:p>
      <w:pPr>
        <w:pStyle w:val="Compact"/>
        <w:numPr>
          <w:ilvl w:val="0"/>
          <w:numId w:val="1011"/>
        </w:numPr>
      </w:pPr>
      <w:r>
        <w:t xml:space="preserve">Guidance reaffirmed</w:t>
      </w:r>
    </w:p>
    <w:p>
      <w:pPr>
        <w:pStyle w:val="Compact"/>
        <w:numPr>
          <w:ilvl w:val="0"/>
          <w:numId w:val="1011"/>
        </w:numPr>
      </w:pPr>
      <w:r>
        <w:t xml:space="preserve">CVOW remains technically on schedule but contingency declines</w:t>
      </w:r>
    </w:p>
    <w:p>
      <w:pPr>
        <w:pStyle w:val="Compact"/>
        <w:numPr>
          <w:ilvl w:val="0"/>
          <w:numId w:val="1011"/>
        </w:numPr>
      </w:pPr>
      <w:r>
        <w:t xml:space="preserve">Merger update largely repeats NextEra’s July commentary</w:t>
      </w:r>
    </w:p>
    <w:bookmarkEnd w:id="32"/>
    <w:bookmarkStart w:id="33" w:name="bearish-report"/>
    <w:p>
      <w:pPr>
        <w:pStyle w:val="Heading3"/>
      </w:pPr>
      <w:r>
        <w:t xml:space="preserve">Bearish report</w:t>
      </w:r>
    </w:p>
    <w:p>
      <w:pPr>
        <w:pStyle w:val="Compact"/>
        <w:numPr>
          <w:ilvl w:val="0"/>
          <w:numId w:val="1012"/>
        </w:numPr>
      </w:pPr>
      <w:r>
        <w:t xml:space="preserve">Full-year guidance reduced</w:t>
      </w:r>
    </w:p>
    <w:p>
      <w:pPr>
        <w:pStyle w:val="Compact"/>
        <w:numPr>
          <w:ilvl w:val="0"/>
          <w:numId w:val="1012"/>
        </w:numPr>
      </w:pPr>
      <w:r>
        <w:t xml:space="preserve">CVOW budget rises or completion slips</w:t>
      </w:r>
    </w:p>
    <w:p>
      <w:pPr>
        <w:pStyle w:val="Compact"/>
        <w:numPr>
          <w:ilvl w:val="0"/>
          <w:numId w:val="1012"/>
        </w:numPr>
      </w:pPr>
      <w:r>
        <w:t xml:space="preserve">Regulatory resistance threatens merger timing or economics</w:t>
      </w:r>
    </w:p>
    <w:p>
      <w:pPr>
        <w:pStyle w:val="Compact"/>
        <w:numPr>
          <w:ilvl w:val="0"/>
          <w:numId w:val="1012"/>
        </w:numPr>
      </w:pPr>
      <w:r>
        <w:t xml:space="preserve">Large-load pipeline fails to convert into firm contracts</w:t>
      </w:r>
    </w:p>
    <w:p>
      <w:pPr>
        <w:pStyle w:val="Compact"/>
        <w:numPr>
          <w:ilvl w:val="0"/>
          <w:numId w:val="1012"/>
        </w:numPr>
      </w:pPr>
      <w:r>
        <w:t xml:space="preserve">Higher equity issuance or weaker credit metrics</w:t>
      </w:r>
    </w:p>
    <w:p>
      <w:pPr>
        <w:pStyle w:val="Compact"/>
        <w:numPr>
          <w:ilvl w:val="0"/>
          <w:numId w:val="1012"/>
        </w:numPr>
      </w:pPr>
      <w:r>
        <w:t xml:space="preserve">Millstone or rate-case outcomes disappoint</w:t>
      </w:r>
    </w:p>
    <w:p>
      <w:r>
        <w:pict>
          <v:rect style="width:0;height:1.5pt" o:hralign="center" o:hrstd="t" o:hr="t"/>
        </w:pict>
      </w:r>
    </w:p>
    <w:bookmarkEnd w:id="33"/>
    <w:bookmarkEnd w:id="34"/>
    <w:bookmarkStart w:id="35" w:name="bottom-line"/>
    <w:p>
      <w:pPr>
        <w:pStyle w:val="Heading2"/>
      </w:pPr>
      <w:r>
        <w:t xml:space="preserve">Bottom line</w:t>
      </w:r>
    </w:p>
    <w:p>
      <w:pPr>
        <w:pStyle w:val="FirstParagraph"/>
      </w:pPr>
      <w:r>
        <w:rPr>
          <w:b/>
          <w:bCs/>
        </w:rPr>
        <w:t xml:space="preserve">The key number is not Q2 EPS—it is the updated count and cadence of CVOW turbine installations.</w:t>
      </w:r>
      <w:r>
        <w:t xml:space="preserve"> </w:t>
      </w:r>
      <w:r>
        <w:t xml:space="preserve">A clean project update, reaffirmed earnings guidance and confirmation of a second-half 2027 merger close would reinforce the view that Dominion is becoming a lower-risk NEE-linked security with a modest deal spread and dividend income through closing.</w:t>
      </w:r>
    </w:p>
    <w:p>
      <w:pPr>
        <w:pStyle w:val="BodyText"/>
      </w:pPr>
      <w:r>
        <w:t xml:space="preserve">The main downside risk is that CVOW schedule or cost pressure emerges while Dominion is operating under merger constraints. Investors should therefore focus on</w:t>
      </w:r>
      <w:r>
        <w:t xml:space="preserve"> </w:t>
      </w:r>
      <w:r>
        <w:rPr>
          <w:b/>
          <w:bCs/>
        </w:rPr>
        <w:t xml:space="preserve">project contingency, financing needs and regulatory milestones</w:t>
      </w:r>
      <w:r>
        <w:t xml:space="preserve">, not merely the quarterly consensus comparison.</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s.dominionenergy.com/news/press-release-details/2026/Dominion-Energy-Schedules-Second-Quarter-2026-Earnings-Call/default.aspx?utm_source=openai" TargetMode="External" /><Relationship Type="http://schemas.openxmlformats.org/officeDocument/2006/relationships/hyperlink" Id="rId24" Target="https://news.dominionenergy.com/press-releases/press-releases/2026/Dominion-Energy-South-Carolina-Files-Comprehensive-Settlements-of-General-Electric-Rate-Case-for-Approval-by-Public-Service-Commission-of-South-Carolina/default.aspx" TargetMode="External" /><Relationship Type="http://schemas.openxmlformats.org/officeDocument/2006/relationships/hyperlink" Id="rId17" Target="https://news.dominionenergy.com/press-releases/press-releases/2026/NextEra-Energy-and-Dominion-Energy-to-Combine-Creating-the-Worlds-Largest-Regulated-Electric-Utility-Business-and-North-Americas-Premier-Energy-Infrastructure-Platform-Benefiting-Customers/?utm_source=openai" TargetMode="External" /><Relationship Type="http://schemas.openxmlformats.org/officeDocument/2006/relationships/hyperlink" Id="rId27" Target="https://portal.ct.gov/deep/news-releases/news-releases---2026/deep-announces-2026-zero-carbon-request-for-proposals?utm_source=openai" TargetMode="External" /><Relationship Type="http://schemas.openxmlformats.org/officeDocument/2006/relationships/hyperlink" Id="rId14" Target="https://s2.q4cdn.com/510812146/files/doc_financials/2026/q1/2026-05-01-DE-IR-1Q-2026-earnings-call-slides-vTC.pdf" TargetMode="External" /><Relationship Type="http://schemas.openxmlformats.org/officeDocument/2006/relationships/hyperlink" Id="rId18" Target="https://www.advfn.com/stock-market/NYSE/D/stock-news/98981888/form-425-prospectuses-and-communications-busine?utm_source=openai" TargetMode="External" /><Relationship Type="http://schemas.openxmlformats.org/officeDocument/2006/relationships/hyperlink" Id="rId11" Target="https://www.barchart.com/stocks/quotes/D/earnings-estimates" TargetMode="External" /><Relationship Type="http://schemas.openxmlformats.org/officeDocument/2006/relationships/hyperlink" Id="rId12" Target="https://www.sec.gov/Archives/edgar/data/715957/000119312526199099/d-ex99.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s.dominionenergy.com/news/press-release-details/2026/Dominion-Energy-Schedules-Second-Quarter-2026-Earnings-Call/default.aspx?utm_source=openai" TargetMode="External" /><Relationship Type="http://schemas.openxmlformats.org/officeDocument/2006/relationships/hyperlink" Id="rId24" Target="https://news.dominionenergy.com/press-releases/press-releases/2026/Dominion-Energy-South-Carolina-Files-Comprehensive-Settlements-of-General-Electric-Rate-Case-for-Approval-by-Public-Service-Commission-of-South-Carolina/default.aspx" TargetMode="External" /><Relationship Type="http://schemas.openxmlformats.org/officeDocument/2006/relationships/hyperlink" Id="rId17" Target="https://news.dominionenergy.com/press-releases/press-releases/2026/NextEra-Energy-and-Dominion-Energy-to-Combine-Creating-the-Worlds-Largest-Regulated-Electric-Utility-Business-and-North-Americas-Premier-Energy-Infrastructure-Platform-Benefiting-Customers/?utm_source=openai" TargetMode="External" /><Relationship Type="http://schemas.openxmlformats.org/officeDocument/2006/relationships/hyperlink" Id="rId27" Target="https://portal.ct.gov/deep/news-releases/news-releases---2026/deep-announces-2026-zero-carbon-request-for-proposals?utm_source=openai" TargetMode="External" /><Relationship Type="http://schemas.openxmlformats.org/officeDocument/2006/relationships/hyperlink" Id="rId14" Target="https://s2.q4cdn.com/510812146/files/doc_financials/2026/q1/2026-05-01-DE-IR-1Q-2026-earnings-call-slides-vTC.pdf" TargetMode="External" /><Relationship Type="http://schemas.openxmlformats.org/officeDocument/2006/relationships/hyperlink" Id="rId18" Target="https://www.advfn.com/stock-market/NYSE/D/stock-news/98981888/form-425-prospectuses-and-communications-busine?utm_source=openai" TargetMode="External" /><Relationship Type="http://schemas.openxmlformats.org/officeDocument/2006/relationships/hyperlink" Id="rId11" Target="https://www.barchart.com/stocks/quotes/D/earnings-estimates" TargetMode="External" /><Relationship Type="http://schemas.openxmlformats.org/officeDocument/2006/relationships/hyperlink" Id="rId12" Target="https://www.sec.gov/Archives/edgar/data/715957/000119312526199099/d-ex99.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2026-07-31T00:41:57Z</dcterms:created>
  <dcterms:modified xsi:type="dcterms:W3CDTF">2026-07-31T00:41:57Z</dcterms:modified>
</cp:coreProperties>
</file>

<file path=docProps/custom.xml><?xml version="1.0" encoding="utf-8"?>
<Properties xmlns="http://schemas.openxmlformats.org/officeDocument/2006/custom-properties" xmlns:vt="http://schemas.openxmlformats.org/officeDocument/2006/docPropsVTypes"/>
</file>