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-earnings-predictions--2026-07-31"/>
    <w:p>
      <w:pPr>
        <w:pStyle w:val="Heading1"/>
      </w:pPr>
      <w:r>
        <w:t xml:space="preserve">D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operating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~$0.78 vs. cons $0.77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CVOW project budget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~$11.40B vs. cons $11.40B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CVOW turbines installed at quarter-end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~31 turbines vs. cons 28 turbines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~$3.57 midpoint vs. cons $3.57 midpoint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CVOW completion timing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~Jun-2027 completion vs. cons Jun-2027 completion (project timing)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Virginia data-center capacity under electric-service agreements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~11.2 GW vs. cons 10.8 GW (2H26 update)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(STABILIZE)</w:t>
            </w:r>
          </w:p>
        </w:tc>
        <w:tc>
          <w:tcPr/>
          <w:p>
            <w:pPr>
              <w:pStyle w:val="Compact"/>
            </w:pPr>
            <w:r>
              <w:t xml:space="preserve">pred ~0.8% five-day residual vs. ~0.6% day-one residual; an in-line EPS print and maintained ~</w:t>
            </w:r>
            <m:oMath>
              <m:r>
                <m:t>3.57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l</m:t>
              </m:r>
              <m:r>
                <m:t>i</m:t>
              </m:r>
              <m:r>
                <m:t>m</m:t>
              </m:r>
              <m:r>
                <m:t>i</m:t>
              </m:r>
              <m:r>
                <m:t>t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r</m:t>
              </m:r>
              <m:r>
                <m:t>e</m:t>
              </m:r>
              <m:r>
                <m:t>v</m:t>
              </m:r>
              <m:r>
                <m:t>i</m:t>
              </m:r>
              <m:r>
                <m:t>s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w</m:t>
              </m:r>
              <m:r>
                <m:t>h</m:t>
              </m:r>
              <m:r>
                <m:t>i</m:t>
              </m:r>
              <m:r>
                <m:t>l</m:t>
              </m:r>
              <m:r>
                <m:t>e</m:t>
              </m:r>
              <m:r>
                <m:t>i</m:t>
              </m:r>
              <m:r>
                <m:t>n</m:t>
              </m:r>
              <m:r>
                <m:t>t</m:t>
              </m:r>
              <m:r>
                <m:t>a</m:t>
              </m:r>
              <m:r>
                <m:t>c</m:t>
              </m:r>
              <m:r>
                <m:t>t</m:t>
              </m:r>
              <m:r>
                <m:t> </m:t>
              </m:r>
            </m:oMath>
            <w:r>
              <w:t xml:space="preserve">11.4B CVOW execution keeps the merger spread from widening materially.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2026-07-31T00:40:45Z</dcterms:created>
  <dcterms:modified xsi:type="dcterms:W3CDTF">2026-07-31T00:40:45Z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