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1b5b3c0f5e7b618d12c6b6724a69e049fb54459"/>
    <w:p>
      <w:pPr>
        <w:pStyle w:val="Heading1"/>
      </w:pPr>
      <w:r>
        <w:t xml:space="preserve">Dominion Energy (NYSE: D) — 2Q26 Earnings Preview</w:t>
      </w:r>
    </w:p>
    <w:p>
      <w:pPr>
        <w:pStyle w:val="BlockText"/>
      </w:pPr>
      <w:r>
        <w:rPr>
          <w:b/>
          <w:bCs/>
        </w:rPr>
        <w:t xml:space="preserve">Timing clarification:</w:t>
      </w:r>
      <w:r>
        <w:t xml:space="preserve"> </w:t>
      </w:r>
      <w:r>
        <w:t xml:space="preserve">Dominion’s 2Q26 earnings call is scheduled for</w:t>
      </w:r>
      <w:r>
        <w:t xml:space="preserve"> </w:t>
      </w:r>
      <w:r>
        <w:rPr>
          <w:b/>
          <w:bCs/>
        </w:rPr>
        <w:t xml:space="preserve">today, Friday, July 31, 2026, at 11:00 a.m. ET</w:t>
      </w:r>
      <w:r>
        <w:t xml:space="preserve">—not tomorrow.</w:t>
      </w:r>
    </w:p>
    <w:bookmarkStart w:id="9" w:name="X02882125795945261874f2a919fce0625926ccc"/>
    <w:p>
      <w:pPr>
        <w:pStyle w:val="Heading2"/>
      </w:pPr>
      <w:r>
        <w:t xml:space="preserve">Investment framing: this is primarily a merger-status event</w:t>
      </w:r>
    </w:p>
    <w:p>
      <w:pPr>
        <w:pStyle w:val="FirstParagraph"/>
      </w:pPr>
      <w:r>
        <w:t xml:space="preserve">Dominion’s standalone operating execution still matters, but the equity is now principally a</w:t>
      </w:r>
      <w:r>
        <w:t xml:space="preserve"> </w:t>
      </w:r>
      <w:r>
        <w:rPr>
          <w:b/>
          <w:bCs/>
        </w:rPr>
        <w:t xml:space="preserve">NextEra Energy (NEE) transaction-security</w:t>
      </w:r>
      <w:r>
        <w:t xml:space="preserve"> </w:t>
      </w:r>
      <w:r>
        <w:t xml:space="preserve">following the May 2026 merger agreement. The most important outputs from the report and call are therefore likely to be:</w:t>
      </w:r>
    </w:p>
    <w:p>
      <w:pPr>
        <w:pStyle w:val="Compact"/>
        <w:numPr>
          <w:ilvl w:val="0"/>
          <w:numId w:val="1001"/>
        </w:numPr>
      </w:pPr>
      <w:r>
        <w:rPr>
          <w:b/>
          <w:bCs/>
        </w:rPr>
        <w:t xml:space="preserve">Any update on merger-process timing, regulatory engagement, or required shareholder approvals</w:t>
      </w:r>
    </w:p>
    <w:p>
      <w:pPr>
        <w:pStyle w:val="Compact"/>
        <w:numPr>
          <w:ilvl w:val="0"/>
          <w:numId w:val="1001"/>
        </w:numPr>
      </w:pPr>
      <w:r>
        <w:rPr>
          <w:b/>
          <w:bCs/>
        </w:rPr>
        <w:t xml:space="preserve">CVOW construction progress and cost/schedule risk</w:t>
      </w:r>
    </w:p>
    <w:p>
      <w:pPr>
        <w:pStyle w:val="Compact"/>
        <w:numPr>
          <w:ilvl w:val="0"/>
          <w:numId w:val="1001"/>
        </w:numPr>
      </w:pPr>
      <w:r>
        <w:rPr>
          <w:b/>
          <w:bCs/>
        </w:rPr>
        <w:t xml:space="preserve">Whether management maintains the pre-deal 2026 operating-EPS outlook</w:t>
      </w:r>
    </w:p>
    <w:p>
      <w:pPr>
        <w:pStyle w:val="Compact"/>
        <w:numPr>
          <w:ilvl w:val="0"/>
          <w:numId w:val="1001"/>
        </w:numPr>
      </w:pPr>
      <w:r>
        <w:rPr>
          <w:b/>
          <w:bCs/>
        </w:rPr>
        <w:t xml:space="preserve">Evidence that Virginia data-center load growth remains real, contracted, and financeable without burdening other customers</w:t>
      </w:r>
    </w:p>
    <w:p>
      <w:pPr>
        <w:pStyle w:val="FirstParagraph"/>
      </w:pPr>
      <w:r>
        <w:t xml:space="preserve">The merger consideration is</w:t>
      </w:r>
      <w:r>
        <w:t xml:space="preserve"> </w:t>
      </w:r>
      <w:r>
        <w:rPr>
          <w:b/>
          <w:bCs/>
        </w:rPr>
        <w:t xml:space="preserve">0.8138 NEE shares plus a pro rata share of</w:t>
      </w:r>
      <w:r>
        <w:rPr>
          <w:b/>
          <w:bCs/>
        </w:rPr>
        <w:t xml:space="preserve"> </w:t>
      </w:r>
      <m:oMath>
        <m:r>
          <m:t>360</m:t>
        </m:r>
        <m:r>
          <m:t>m</m:t>
        </m:r>
        <m:r>
          <m:t>i</m:t>
        </m:r>
        <m:r>
          <m:t>l</m:t>
        </m:r>
        <m:r>
          <m:t>l</m:t>
        </m:r>
        <m:r>
          <m:t>i</m:t>
        </m:r>
        <m:r>
          <m:t>o</m:t>
        </m:r>
        <m:r>
          <m:t>n</m:t>
        </m:r>
        <m:r>
          <m:t>i</m:t>
        </m:r>
        <m:r>
          <m:t>n</m:t>
        </m:r>
        <m:r>
          <m:t>c</m:t>
        </m:r>
        <m:r>
          <m:t>a</m:t>
        </m:r>
        <m:r>
          <m:t>s</m:t>
        </m:r>
        <m:r>
          <m:t>h</m:t>
        </m:r>
        <m:r>
          <m:t>p</m:t>
        </m:r>
        <m:r>
          <m:t>e</m:t>
        </m:r>
        <m:r>
          <m:t>r</m:t>
        </m:r>
        <m:r>
          <m:t>D</m:t>
        </m:r>
        <m:r>
          <m:t>s</m:t>
        </m:r>
        <m:r>
          <m:t>h</m:t>
        </m:r>
        <m:r>
          <m:t>a</m:t>
        </m:r>
        <m:r>
          <m:t>r</m:t>
        </m:r>
        <m:r>
          <m:t>e</m:t>
        </m:r>
        <m:r>
          <m:rPr>
            <m:sty m:val="p"/>
          </m:rPr>
          <m:t>*</m:t>
        </m:r>
        <m:r>
          <m:rPr>
            <m:sty m:val="p"/>
          </m:rPr>
          <m:t>*</m:t>
        </m:r>
        <m:r>
          <m:rPr>
            <m:sty m:val="p"/>
          </m:rPr>
          <m:t>.</m:t>
        </m:r>
        <m:r>
          <m:t>U</m:t>
        </m:r>
        <m:r>
          <m:t>s</m:t>
        </m:r>
        <m:r>
          <m:t>i</m:t>
        </m:r>
        <m:r>
          <m:t>n</m:t>
        </m:r>
        <m:r>
          <m:t>g</m:t>
        </m:r>
        <m:r>
          <m:t>t</m:t>
        </m:r>
        <m:r>
          <m:t>h</m:t>
        </m:r>
        <m:r>
          <m:t>e</m:t>
        </m:r>
        <m:r>
          <m:t>J</m:t>
        </m:r>
        <m:r>
          <m:t>u</m:t>
        </m:r>
        <m:r>
          <m:t>l</m:t>
        </m:r>
        <m:r>
          <m:t>y</m:t>
        </m:r>
        <m:r>
          <m:t>30</m:t>
        </m:r>
        <m:r>
          <m:t>c</m:t>
        </m:r>
        <m:r>
          <m:t>l</m:t>
        </m:r>
        <m:r>
          <m:t>o</m:t>
        </m:r>
        <m:r>
          <m:t>s</m:t>
        </m:r>
        <m:r>
          <m:t>e</m:t>
        </m:r>
        <m:r>
          <m:t>s</m:t>
        </m:r>
        <m:r>
          <m:t>o</m:t>
        </m:r>
        <m:r>
          <m:t>f</m:t>
        </m:r>
        <m:r>
          <m:rPr>
            <m:sty m:val="p"/>
          </m:rPr>
          <m:t>*</m:t>
        </m:r>
        <m:r>
          <m:rPr>
            <m:sty m:val="p"/>
          </m:rPr>
          <m:t>*</m:t>
        </m:r>
      </m:oMath>
      <w:r>
        <w:rPr>
          <w:b/>
          <w:bCs/>
        </w:rPr>
        <w:t xml:space="preserve">87.95 for NEE</w:t>
      </w:r>
      <w:r>
        <w:t xml:space="preserve"> </w:t>
      </w:r>
      <w:r>
        <w:t xml:space="preserve">and</w:t>
      </w:r>
      <w:r>
        <w:t xml:space="preserve"> </w:t>
      </w:r>
      <m:oMath>
        <m:r>
          <m:t>69.75</m:t>
        </m:r>
        <m:r>
          <m:t>f</m:t>
        </m:r>
        <m:r>
          <m:t>o</m:t>
        </m:r>
        <m:r>
          <m:t>r</m:t>
        </m:r>
        <m:r>
          <m:t>D</m:t>
        </m:r>
        <m:r>
          <m:rPr>
            <m:sty m:val="p"/>
          </m:rPr>
          <m:t>*</m:t>
        </m:r>
        <m:r>
          <m:rPr>
            <m:sty m:val="p"/>
          </m:rPr>
          <m:t>*</m:t>
        </m:r>
        <m:r>
          <m:rPr>
            <m:sty m:val="p"/>
          </m:rPr>
          <m:t>,</m:t>
        </m:r>
        <m:r>
          <m:t>a</m:t>
        </m:r>
        <m:r>
          <m:t>n</m:t>
        </m:r>
        <m:r>
          <m:t>d</m:t>
        </m:r>
        <m:r>
          <m:t>a</m:t>
        </m:r>
        <m:r>
          <m:t>p</m:t>
        </m:r>
        <m:r>
          <m:t>p</m:t>
        </m:r>
        <m:r>
          <m:t>r</m:t>
        </m:r>
        <m:r>
          <m:t>o</m:t>
        </m:r>
        <m:r>
          <m:t>x</m:t>
        </m:r>
        <m:r>
          <m:t>i</m:t>
        </m:r>
        <m:r>
          <m:t>m</m:t>
        </m:r>
        <m:r>
          <m:t>a</m:t>
        </m:r>
        <m:r>
          <m:t>t</m:t>
        </m:r>
        <m:r>
          <m:t>e</m:t>
        </m:r>
        <m:r>
          <m:t>l</m:t>
        </m:r>
        <m:r>
          <m:t>y</m:t>
        </m:r>
        <m:r>
          <m:t>880</m:t>
        </m:r>
        <m:r>
          <m:t>m</m:t>
        </m:r>
        <m:r>
          <m:t>i</m:t>
        </m:r>
        <m:r>
          <m:t>l</m:t>
        </m:r>
        <m:r>
          <m:t>l</m:t>
        </m:r>
        <m:r>
          <m:t>i</m:t>
        </m:r>
        <m:r>
          <m:t>o</m:t>
        </m:r>
        <m:r>
          <m:t>n</m:t>
        </m:r>
        <m:r>
          <m:t>D</m:t>
        </m:r>
        <m:r>
          <m:t>s</m:t>
        </m:r>
        <m:r>
          <m:t>h</m:t>
        </m:r>
        <m:r>
          <m:t>a</m:t>
        </m:r>
        <m:r>
          <m:t>r</m:t>
        </m:r>
        <m:r>
          <m:t>e</m:t>
        </m:r>
        <m:r>
          <m:t>s</m:t>
        </m:r>
        <m:r>
          <m:t>a</m:t>
        </m:r>
        <m:r>
          <m:t>s</m:t>
        </m:r>
        <m:r>
          <m:t>a</m:t>
        </m:r>
        <m:r>
          <m:t>r</m:t>
        </m:r>
        <m:r>
          <m:t>o</m:t>
        </m:r>
        <m:r>
          <m:t>u</m:t>
        </m:r>
        <m:r>
          <m:t>g</m:t>
        </m:r>
        <m:r>
          <m:t>h</m:t>
        </m:r>
        <m:r>
          <m:t>c</m:t>
        </m:r>
        <m:r>
          <m:t>a</m:t>
        </m:r>
        <m:r>
          <m:t>s</m:t>
        </m:r>
        <m:r>
          <m:t>h</m:t>
        </m:r>
        <m:r>
          <m:rPr>
            <m:sty m:val="p"/>
          </m:rPr>
          <m:t>−</m:t>
        </m:r>
        <m:r>
          <m:t>p</m:t>
        </m:r>
        <m:r>
          <m:t>e</m:t>
        </m:r>
        <m:r>
          <m:t>r</m:t>
        </m:r>
        <m:r>
          <m:rPr>
            <m:sty m:val="p"/>
          </m:rPr>
          <m:t>−</m:t>
        </m:r>
        <m:r>
          <m:t>s</m:t>
        </m:r>
        <m:r>
          <m:t>h</m:t>
        </m:r>
        <m:r>
          <m:t>a</m:t>
        </m:r>
        <m:r>
          <m:t>r</m:t>
        </m:r>
        <m:r>
          <m:t>e</m:t>
        </m:r>
        <m:r>
          <m:t>d</m:t>
        </m:r>
        <m:r>
          <m:t>e</m:t>
        </m:r>
        <m:r>
          <m:t>n</m:t>
        </m:r>
        <m:r>
          <m:t>o</m:t>
        </m:r>
        <m:r>
          <m:t>m</m:t>
        </m:r>
        <m:r>
          <m:t>i</m:t>
        </m:r>
        <m:r>
          <m:t>n</m:t>
        </m:r>
        <m:r>
          <m:t>a</m:t>
        </m:r>
        <m:r>
          <m:t>t</m:t>
        </m:r>
        <m:r>
          <m:t>o</m:t>
        </m:r>
        <m:r>
          <m:t>r</m:t>
        </m:r>
        <m:r>
          <m:rPr>
            <m:sty m:val="p"/>
          </m:rPr>
          <m:t>,</m:t>
        </m:r>
        <m:r>
          <m:t>t</m:t>
        </m:r>
        <m:r>
          <m:t>h</m:t>
        </m:r>
        <m:r>
          <m:t>e</m:t>
        </m:r>
        <m:r>
          <m:t>i</m:t>
        </m:r>
        <m:r>
          <m:t>n</m:t>
        </m:r>
        <m:r>
          <m:t>d</m:t>
        </m:r>
        <m:r>
          <m:t>i</m:t>
        </m:r>
        <m:r>
          <m:t>c</m:t>
        </m:r>
        <m:r>
          <m:t>a</m:t>
        </m:r>
        <m:r>
          <m:t>t</m:t>
        </m:r>
        <m:r>
          <m:t>e</m:t>
        </m:r>
        <m:r>
          <m:t>d</m:t>
        </m:r>
        <m:r>
          <m:t>c</m:t>
        </m:r>
        <m:r>
          <m:t>o</m:t>
        </m:r>
        <m:r>
          <m:t>n</m:t>
        </m:r>
        <m:r>
          <m:t>s</m:t>
        </m:r>
        <m:r>
          <m:t>i</m:t>
        </m:r>
        <m:r>
          <m:t>d</m:t>
        </m:r>
        <m:r>
          <m:t>e</m:t>
        </m:r>
        <m:r>
          <m:t>r</m:t>
        </m:r>
        <m:r>
          <m:t>a</m:t>
        </m:r>
        <m:r>
          <m:t>t</m:t>
        </m:r>
        <m:r>
          <m:t>i</m:t>
        </m:r>
        <m:r>
          <m:t>o</m:t>
        </m:r>
        <m:r>
          <m:t>n</m:t>
        </m:r>
        <m:r>
          <m:t>i</m:t>
        </m:r>
        <m:r>
          <m:t>s</m:t>
        </m:r>
        <m:r>
          <m:t>a</m:t>
        </m:r>
        <m:r>
          <m:t>b</m:t>
        </m:r>
        <m:r>
          <m:t>o</m:t>
        </m:r>
        <m:r>
          <m:t>u</m:t>
        </m:r>
        <m:r>
          <m:t>t</m:t>
        </m:r>
        <m:r>
          <m:rPr>
            <m:sty m:val="p"/>
          </m:rPr>
          <m:t>*</m:t>
        </m:r>
        <m:r>
          <m:rPr>
            <m:sty m:val="p"/>
          </m:rPr>
          <m:t>*</m:t>
        </m:r>
      </m:oMath>
      <w:r>
        <w:rPr>
          <w:b/>
          <w:bCs/>
        </w:rPr>
        <w:t xml:space="preserve">71.98 per D share</w:t>
      </w:r>
      <w:r>
        <w:t xml:space="preserve">—a roughly</w:t>
      </w:r>
      <w:r>
        <w:t xml:space="preserve"> </w:t>
      </w:r>
      <w:r>
        <w:rPr>
          <w:b/>
          <w:bCs/>
        </w:rPr>
        <w:t xml:space="preserve">3.2% spread</w:t>
      </w:r>
      <w:r>
        <w:t xml:space="preserve"> </w:t>
      </w:r>
      <w:r>
        <w:t xml:space="preserve">to D’s July 30 close. That makes NEE share-price movements and perceived regulatory/closing risk more important to near-term D performance than a small operating-EPS beat or miss.</w:t>
      </w:r>
    </w:p>
    <w:bookmarkEnd w:id="9"/>
    <w:bookmarkStart w:id="14" w:name="what-investors-should-watch"/>
    <w:p>
      <w:pPr>
        <w:pStyle w:val="Heading2"/>
      </w:pPr>
      <w:r>
        <w:t xml:space="preserve">What investors should watch</w:t>
      </w:r>
    </w:p>
    <w:bookmarkStart w:id="10" w:name="Xbaab2ebbb5dafda9c0ae0da46162e362f2bc31e"/>
    <w:p>
      <w:pPr>
        <w:pStyle w:val="Heading3"/>
      </w:pPr>
      <w:r>
        <w:t xml:space="preserve">1. Merger timeline and regulatory risk — the key catalyst</w:t>
      </w:r>
    </w:p>
    <w:p>
      <w:pPr>
        <w:pStyle w:val="FirstParagraph"/>
      </w:pPr>
      <w:r>
        <w:t xml:space="preserve">The proposed acquisition requires approvals from both companies’ shareholders as well as clearance under HSR and from FERC, the NRC, the Virginia SCC, the North Carolina Utilities Commission, and the Public Service Commission of South Carolina. The agreement also prohibits closing subject to a “burdensome condition.”</w:t>
      </w:r>
    </w:p>
    <w:p>
      <w:pPr>
        <w:pStyle w:val="BodyText"/>
      </w:pPr>
      <w:r>
        <w:t xml:space="preserve">That list is the central reason the deal spread exists. Investors should listen for:</w:t>
      </w:r>
    </w:p>
    <w:p>
      <w:pPr>
        <w:pStyle w:val="Compact"/>
        <w:numPr>
          <w:ilvl w:val="0"/>
          <w:numId w:val="1002"/>
        </w:numPr>
      </w:pPr>
      <w:r>
        <w:t xml:space="preserve">Whether regulatory filings have begun or whether filing dates are now more specific;</w:t>
      </w:r>
    </w:p>
    <w:p>
      <w:pPr>
        <w:pStyle w:val="Compact"/>
        <w:numPr>
          <w:ilvl w:val="0"/>
          <w:numId w:val="1002"/>
        </w:numPr>
      </w:pPr>
      <w:r>
        <w:t xml:space="preserve">Any early feedback from Virginia, South Carolina, North Carolina, FERC, or nuclear regulators;</w:t>
      </w:r>
    </w:p>
    <w:p>
      <w:pPr>
        <w:pStyle w:val="Compact"/>
        <w:numPr>
          <w:ilvl w:val="0"/>
          <w:numId w:val="1002"/>
        </w:numPr>
      </w:pPr>
      <w:r>
        <w:t xml:space="preserve">Expected timing for the joint proxy/prospectus and shareholder votes;</w:t>
      </w:r>
    </w:p>
    <w:p>
      <w:pPr>
        <w:pStyle w:val="Compact"/>
        <w:numPr>
          <w:ilvl w:val="0"/>
          <w:numId w:val="1002"/>
        </w:numPr>
      </w:pPr>
      <w:r>
        <w:t xml:space="preserve">Any commitments on customer bills, employment, headquarters, capital spending, or governance that could become conditions of approval.</w:t>
      </w:r>
    </w:p>
    <w:p>
      <w:pPr>
        <w:pStyle w:val="FirstParagraph"/>
      </w:pPr>
      <w:r>
        <w:t xml:space="preserve">The agreement provides substantial protection to Dominion if the transaction fails for specified regulatory reasons: NextEra could owe Dominion a</w:t>
      </w:r>
      <w:r>
        <w:t xml:space="preserve"> </w:t>
      </w:r>
      <w:r>
        <w:rPr>
          <w:b/>
          <w:bCs/>
        </w:rPr>
        <w:t xml:space="preserve">$4.83 billion regulatory termination fee</w:t>
      </w:r>
      <w:r>
        <w:t xml:space="preserve"> </w:t>
      </w:r>
      <w:r>
        <w:t xml:space="preserve">in certain circumstances. Conversely, the deal’s outside date is</w:t>
      </w:r>
      <w:r>
        <w:t xml:space="preserve"> </w:t>
      </w:r>
      <w:r>
        <w:rPr>
          <w:b/>
          <w:bCs/>
        </w:rPr>
        <w:t xml:space="preserve">November 15, 2027</w:t>
      </w:r>
      <w:r>
        <w:t xml:space="preserve">, potentially extendable to</w:t>
      </w:r>
      <w:r>
        <w:t xml:space="preserve"> </w:t>
      </w:r>
      <w:r>
        <w:rPr>
          <w:b/>
          <w:bCs/>
        </w:rPr>
        <w:t xml:space="preserve">August 15, 2028</w:t>
      </w:r>
      <w:r>
        <w:t xml:space="preserve"> </w:t>
      </w:r>
      <w:r>
        <w:t xml:space="preserve">under specified regulatory circumstances. That implies a potentially long path to closing—and sustained sensitivity to NEE’s stock price given the predominantly stock consideration.</w:t>
      </w:r>
    </w:p>
    <w:bookmarkEnd w:id="10"/>
    <w:bookmarkStart w:id="11" w:name="Xa13c8118400e30683a6ee20e2af225b9fca028c"/>
    <w:p>
      <w:pPr>
        <w:pStyle w:val="Heading3"/>
      </w:pPr>
      <w:r>
        <w:t xml:space="preserve">2. CVOW: execution has improved, but it remains the largest standalone risk</w:t>
      </w:r>
    </w:p>
    <w:p>
      <w:pPr>
        <w:pStyle w:val="FirstParagraph"/>
      </w:pPr>
      <w:r>
        <w:t xml:space="preserve">The Coastal Virginia Offshore Wind project is the most consequential operating item in the print. At the 1Q call, Dominion said:</w:t>
      </w:r>
    </w:p>
    <w:p>
      <w:pPr>
        <w:pStyle w:val="Compact"/>
        <w:numPr>
          <w:ilvl w:val="0"/>
          <w:numId w:val="1003"/>
        </w:numPr>
      </w:pPr>
      <w:r>
        <w:t xml:space="preserve">CVOW was</w:t>
      </w:r>
      <w:r>
        <w:t xml:space="preserve"> </w:t>
      </w:r>
      <w:r>
        <w:rPr>
          <w:b/>
          <w:bCs/>
        </w:rPr>
        <w:t xml:space="preserve">more than 75% complete</w:t>
      </w:r>
      <w:r>
        <w:t xml:space="preserve">;</w:t>
      </w:r>
    </w:p>
    <w:p>
      <w:pPr>
        <w:pStyle w:val="Compact"/>
        <w:numPr>
          <w:ilvl w:val="0"/>
          <w:numId w:val="1003"/>
        </w:numPr>
      </w:pPr>
      <w:r>
        <w:t xml:space="preserve">The project budget was</w:t>
      </w:r>
      <w:r>
        <w:t xml:space="preserve"> </w:t>
      </w:r>
      <w:r>
        <w:rPr>
          <w:b/>
          <w:bCs/>
        </w:rPr>
        <w:t xml:space="preserve">$11.4 billion</w:t>
      </w:r>
      <w:r>
        <w:t xml:space="preserve">, down about $100 million from the prior update;</w:t>
      </w:r>
    </w:p>
    <w:p>
      <w:pPr>
        <w:pStyle w:val="Compact"/>
        <w:numPr>
          <w:ilvl w:val="0"/>
          <w:numId w:val="1003"/>
        </w:numPr>
      </w:pPr>
      <w:r>
        <w:t xml:space="preserve">Remaining unused contingency was</w:t>
      </w:r>
      <w:r>
        <w:t xml:space="preserve"> </w:t>
      </w:r>
      <w:r>
        <w:rPr>
          <w:b/>
          <w:bCs/>
        </w:rPr>
        <w:t xml:space="preserve">$123 million</w:t>
      </w:r>
      <w:r>
        <w:t xml:space="preserve">;</w:t>
      </w:r>
    </w:p>
    <w:p>
      <w:pPr>
        <w:pStyle w:val="Compact"/>
        <w:numPr>
          <w:ilvl w:val="0"/>
          <w:numId w:val="1003"/>
        </w:numPr>
      </w:pPr>
      <w:r>
        <w:t xml:space="preserve">Nine turbines had been installed;</w:t>
      </w:r>
    </w:p>
    <w:p>
      <w:pPr>
        <w:pStyle w:val="Compact"/>
        <w:numPr>
          <w:ilvl w:val="0"/>
          <w:numId w:val="1003"/>
        </w:numPr>
      </w:pPr>
      <w:r>
        <w:t xml:space="preserve">Most turbines were expected in service by year-end 2026, with the remainder before the end of June 2027.</w:t>
      </w:r>
    </w:p>
    <w:p>
      <w:pPr>
        <w:pStyle w:val="FirstParagraph"/>
      </w:pPr>
      <w:r>
        <w:t xml:space="preserve">Management emphasized that recent installations averaged about two days per turbine, but also noted that each additional quarter of turbine-installation delay beyond July 2027 could add roughly</w:t>
      </w:r>
      <w:r>
        <w:t xml:space="preserve"> </w:t>
      </w:r>
      <m:oMath>
        <m:r>
          <m:t>150</m:t>
        </m:r>
        <m:r>
          <m:t>m</m:t>
        </m:r>
        <m:r>
          <m:t>i</m:t>
        </m:r>
        <m:r>
          <m:t>l</m:t>
        </m:r>
        <m:r>
          <m:t>l</m:t>
        </m:r>
        <m:r>
          <m:t>i</m:t>
        </m:r>
        <m:r>
          <m:t>o</m:t>
        </m:r>
        <m:r>
          <m:t>n</m:t>
        </m:r>
        <m:r>
          <m:rPr>
            <m:sty m:val="p"/>
          </m:rPr>
          <m:t>–</m:t>
        </m:r>
      </m:oMath>
      <w:r>
        <w:rPr>
          <w:b/>
          <w:bCs/>
        </w:rPr>
        <w:t xml:space="preserve">200 million</w:t>
      </w:r>
      <w:r>
        <w:t xml:space="preserve"> </w:t>
      </w:r>
      <w:r>
        <w:t xml:space="preserve">of cost before partner sharing. The 2Q update should show whether the favorable installation-learning curve persisted during the more favorable summer weather window.</w:t>
      </w:r>
    </w:p>
    <w:p>
      <w:pPr>
        <w:pStyle w:val="BodyText"/>
      </w:pPr>
      <w:r>
        <w:rPr>
          <w:b/>
          <w:bCs/>
        </w:rPr>
        <w:t xml:space="preserve">Bullish read-through:</w:t>
      </w:r>
      <w:r>
        <w:t xml:space="preserve"> </w:t>
      </w:r>
      <w:r>
        <w:t xml:space="preserve">more turbines installed, unchanged budget/timing, and resolution of tariff and PJM network-upgrade uncertainty.</w:t>
      </w:r>
    </w:p>
    <w:p>
      <w:pPr>
        <w:pStyle w:val="BodyText"/>
      </w:pPr>
      <w:r>
        <w:rPr>
          <w:b/>
          <w:bCs/>
        </w:rPr>
        <w:t xml:space="preserve">Bearish read-through:</w:t>
      </w:r>
      <w:r>
        <w:t xml:space="preserve"> </w:t>
      </w:r>
      <w:r>
        <w:t xml:space="preserve">lower installation cadence, reduced contingency, incremental tariff costs, or language that makes completion by mid-2027 less certain.</w:t>
      </w:r>
    </w:p>
    <w:p>
      <w:pPr>
        <w:pStyle w:val="BodyText"/>
      </w:pPr>
      <w:r>
        <w:t xml:space="preserve">Two crosscurrents deserve particular attention:</w:t>
      </w:r>
    </w:p>
    <w:p>
      <w:pPr>
        <w:pStyle w:val="Compact"/>
        <w:numPr>
          <w:ilvl w:val="0"/>
          <w:numId w:val="1004"/>
        </w:numPr>
      </w:pPr>
      <w:r>
        <w:t xml:space="preserve">Dominion previously estimated potential steel/aluminum tariff exposure of roughly</w:t>
      </w:r>
      <w:r>
        <w:t xml:space="preserve"> </w:t>
      </w:r>
      <w:r>
        <w:rPr>
          <w:b/>
          <w:bCs/>
        </w:rPr>
        <w:t xml:space="preserve">$200 million</w:t>
      </w:r>
      <w:r>
        <w:t xml:space="preserve">.</w:t>
      </w:r>
    </w:p>
    <w:p>
      <w:pPr>
        <w:pStyle w:val="Compact"/>
        <w:numPr>
          <w:ilvl w:val="0"/>
          <w:numId w:val="1004"/>
        </w:numPr>
      </w:pPr>
      <w:r>
        <w:t xml:space="preserve">Management also expected a reassessment that could reduce CVOW’s allocated PJM network-upgrade costs.</w:t>
      </w:r>
    </w:p>
    <w:p>
      <w:pPr>
        <w:pStyle w:val="FirstParagraph"/>
      </w:pPr>
      <w:r>
        <w:t xml:space="preserve">The market will care less about gross cost movements than whether those two items net to a manageable outcome.</w:t>
      </w:r>
    </w:p>
    <w:bookmarkEnd w:id="11"/>
    <w:bookmarkStart w:id="12" w:name="X5c0faec07779a74329790e5cea71476d1067017"/>
    <w:p>
      <w:pPr>
        <w:pStyle w:val="Heading3"/>
      </w:pPr>
      <w:r>
        <w:t xml:space="preserve">3. Data-center demand: the growth engine needs to remain “contracted,” not merely aspirational</w:t>
      </w:r>
    </w:p>
    <w:p>
      <w:pPr>
        <w:pStyle w:val="FirstParagraph"/>
      </w:pPr>
      <w:r>
        <w:t xml:space="preserve">Dominion entered the year with an unusually powerful Virginia data-center thesis. At 1Q, it cited:</w:t>
      </w:r>
    </w:p>
    <w:p>
      <w:pPr>
        <w:pStyle w:val="Compact"/>
        <w:numPr>
          <w:ilvl w:val="0"/>
          <w:numId w:val="1005"/>
        </w:numPr>
      </w:pPr>
      <w:r>
        <w:t xml:space="preserve">More than</w:t>
      </w:r>
      <w:r>
        <w:t xml:space="preserve"> </w:t>
      </w:r>
      <w:r>
        <w:rPr>
          <w:b/>
          <w:bCs/>
        </w:rPr>
        <w:t xml:space="preserve">50 GW</w:t>
      </w:r>
      <w:r>
        <w:t xml:space="preserve"> </w:t>
      </w:r>
      <w:r>
        <w:t xml:space="preserve">of data-center capacity in various contracting stages;</w:t>
      </w:r>
    </w:p>
    <w:p>
      <w:pPr>
        <w:pStyle w:val="Compact"/>
        <w:numPr>
          <w:ilvl w:val="0"/>
          <w:numId w:val="1005"/>
        </w:numPr>
      </w:pPr>
      <w:r>
        <w:t xml:space="preserve">About</w:t>
      </w:r>
      <w:r>
        <w:t xml:space="preserve"> </w:t>
      </w:r>
      <w:r>
        <w:rPr>
          <w:b/>
          <w:bCs/>
        </w:rPr>
        <w:t xml:space="preserve">10.4 GW</w:t>
      </w:r>
      <w:r>
        <w:t xml:space="preserve"> </w:t>
      </w:r>
      <w:r>
        <w:t xml:space="preserve">under electric-service agreements;</w:t>
      </w:r>
    </w:p>
    <w:p>
      <w:pPr>
        <w:pStyle w:val="Compact"/>
        <w:numPr>
          <w:ilvl w:val="0"/>
          <w:numId w:val="1005"/>
        </w:numPr>
      </w:pPr>
      <w:r>
        <w:t xml:space="preserve">Large-load provisions intended to require data-center customers to fund their infrastructure needs and limit cost shifting or stranded-cost risk for residential and smaller commercial customers.</w:t>
      </w:r>
    </w:p>
    <w:p>
      <w:pPr>
        <w:pStyle w:val="FirstParagraph"/>
      </w:pPr>
      <w:r>
        <w:t xml:space="preserve">The report should clarify whether that pipeline continued to convert during 2Q and whether the company sees any slowing from grid, capacity-market, affordability, or permitting constraints.</w:t>
      </w:r>
    </w:p>
    <w:p>
      <w:pPr>
        <w:pStyle w:val="BodyText"/>
      </w:pPr>
      <w:r>
        <w:t xml:space="preserve">The most constructive update would combine continued contracting momentum with confirmation that large-load protections are working as designed. That would reinforce Dominion’s ability to deploy substantial regulated capital in generation, transmission, distribution, and storage without a materially worse regulatory compact.</w:t>
      </w:r>
    </w:p>
    <w:p>
      <w:pPr>
        <w:pStyle w:val="BodyText"/>
      </w:pPr>
      <w:r>
        <w:t xml:space="preserve">The main risk is political and regulatory: accelerating data-center load has sharpened public concern that household electricity bills may rise to subsidize AI-related infrastructure. Any signs that regulators are pushing for more restrictive cost allocation, interconnection rules, or rate mitigation could temper the long-term investment thesis.</w:t>
      </w:r>
    </w:p>
    <w:bookmarkEnd w:id="12"/>
    <w:bookmarkStart w:id="13" w:name="X13b26fbd8c24a5255d6d54ccb1defead58c275e"/>
    <w:p>
      <w:pPr>
        <w:pStyle w:val="Heading3"/>
      </w:pPr>
      <w:r>
        <w:t xml:space="preserve">4. Guidance: reaffirmation matters, but is secondary to the deal</w:t>
      </w:r>
    </w:p>
    <w:p>
      <w:pPr>
        <w:pStyle w:val="FirstParagraph"/>
      </w:pPr>
      <w:r>
        <w:t xml:space="preserve">Before the merger agreement, Dominion affirmed 2026 operating-EPS guidance of</w:t>
      </w:r>
      <w:r>
        <w:t xml:space="preserve"> </w:t>
      </w:r>
      <m:oMath>
        <m:r>
          <m:t>3.45</m:t>
        </m:r>
        <m:r>
          <m:rPr>
            <m:sty m:val="p"/>
          </m:rPr>
          <m:t>–</m:t>
        </m:r>
      </m:oMath>
      <w:r>
        <w:rPr>
          <w:b/>
          <w:bCs/>
        </w:rPr>
        <w:t xml:space="preserve">3.69</w:t>
      </w:r>
      <w:r>
        <w:t xml:space="preserve">, with a midpoint of</w:t>
      </w:r>
      <w:r>
        <w:t xml:space="preserve"> </w:t>
      </w:r>
      <m:oMath>
        <m:r>
          <m:t>3.57</m:t>
        </m:r>
        <m:r>
          <m:rPr>
            <m:sty m:val="p"/>
          </m:rPr>
          <m:t>*</m:t>
        </m:r>
        <m:r>
          <m:rPr>
            <m:sty m:val="p"/>
          </m:rPr>
          <m:t>*</m:t>
        </m:r>
        <m:r>
          <m:rPr>
            <m:sty m:val="p"/>
          </m:rPr>
          <m:t>,</m:t>
        </m:r>
        <m:r>
          <m:t>a</m:t>
        </m:r>
        <m:r>
          <m:t>n</m:t>
        </m:r>
        <m:r>
          <m:t>d</m:t>
        </m:r>
        <m:r>
          <m:t>m</m:t>
        </m:r>
        <m:r>
          <m:t>a</m:t>
        </m:r>
        <m:r>
          <m:t>i</m:t>
        </m:r>
        <m:r>
          <m:t>n</m:t>
        </m:r>
        <m:r>
          <m:t>t</m:t>
        </m:r>
        <m:r>
          <m:t>a</m:t>
        </m:r>
        <m:r>
          <m:t>i</m:t>
        </m:r>
        <m:r>
          <m:t>n</m:t>
        </m:r>
        <m:r>
          <m:t>e</m:t>
        </m:r>
        <m:r>
          <m:t>d</m:t>
        </m:r>
        <m:r>
          <m:t>i</m:t>
        </m:r>
        <m:r>
          <m:t>t</m:t>
        </m:r>
        <m:r>
          <m:t>s</m:t>
        </m:r>
        <m:r>
          <m:t>5</m:t>
        </m:r>
      </m:oMath>
      <w:r>
        <w:rPr>
          <w:b/>
          <w:bCs/>
        </w:rPr>
        <w:t xml:space="preserve">0.95</w:t>
      </w:r>
      <w:r>
        <w:t xml:space="preserve">, versus $0.93 a year earlier; GAAP EPS was $0.69.</w:t>
      </w:r>
    </w:p>
    <w:p>
      <w:pPr>
        <w:pStyle w:val="BodyText"/>
      </w:pPr>
      <w:r>
        <w:t xml:space="preserve">For 2Q, the relevant questions are:</w:t>
      </w:r>
    </w:p>
    <w:p>
      <w:pPr>
        <w:pStyle w:val="Compact"/>
        <w:numPr>
          <w:ilvl w:val="0"/>
          <w:numId w:val="1006"/>
        </w:numPr>
      </w:pPr>
      <w:r>
        <w:t xml:space="preserve">Does Dominion</w:t>
      </w:r>
      <w:r>
        <w:t xml:space="preserve"> </w:t>
      </w:r>
      <w:r>
        <w:rPr>
          <w:b/>
          <w:bCs/>
        </w:rPr>
        <w:t xml:space="preserve">reaffirm, narrow, or revise</w:t>
      </w:r>
      <w:r>
        <w:t xml:space="preserve"> </w:t>
      </w:r>
      <w:r>
        <w:t xml:space="preserve">2026 operating guidance?</w:t>
      </w:r>
    </w:p>
    <w:p>
      <w:pPr>
        <w:pStyle w:val="Compact"/>
        <w:numPr>
          <w:ilvl w:val="0"/>
          <w:numId w:val="1006"/>
        </w:numPr>
      </w:pPr>
      <w:r>
        <w:t xml:space="preserve">Do weather, interest expense, O&amp;M, or share dilution pressure the second-half run rate?</w:t>
      </w:r>
    </w:p>
    <w:p>
      <w:pPr>
        <w:pStyle w:val="Compact"/>
        <w:numPr>
          <w:ilvl w:val="0"/>
          <w:numId w:val="1006"/>
        </w:numPr>
      </w:pPr>
      <w:r>
        <w:t xml:space="preserve">Does financing remain consistent with the company’s stated credit target of FFO/debt above 15%?</w:t>
      </w:r>
    </w:p>
    <w:p>
      <w:pPr>
        <w:pStyle w:val="Compact"/>
        <w:numPr>
          <w:ilvl w:val="0"/>
          <w:numId w:val="1006"/>
        </w:numPr>
      </w:pPr>
      <w:r>
        <w:t xml:space="preserve">Are merger-related restrictions changing the timing or scope of standalone capital-allocation decisions?</w:t>
      </w:r>
    </w:p>
    <w:p>
      <w:pPr>
        <w:pStyle w:val="FirstParagraph"/>
      </w:pPr>
      <w:r>
        <w:t xml:space="preserve">Dominion issued</w:t>
      </w:r>
      <w:r>
        <w:t xml:space="preserve"> </w:t>
      </w:r>
      <w:r>
        <w:rPr>
          <w:b/>
          <w:bCs/>
        </w:rPr>
        <w:t xml:space="preserve">$1.5 billion of junior subordinated notes</w:t>
      </w:r>
      <w:r>
        <w:t xml:space="preserve"> </w:t>
      </w:r>
      <w:r>
        <w:t xml:space="preserve">in June, reinforcing that funding and credit metrics remain active issues even while the company is under agreement to be acquired. A clean update on liquidity, financing, and credit ratings would be constructive.</w:t>
      </w:r>
    </w:p>
    <w:bookmarkEnd w:id="13"/>
    <w:bookmarkEnd w:id="14"/>
    <w:bookmarkStart w:id="18" w:name="other-swing-factors"/>
    <w:p>
      <w:pPr>
        <w:pStyle w:val="Heading2"/>
      </w:pPr>
      <w:r>
        <w:t xml:space="preserve">Other swing factors</w:t>
      </w:r>
    </w:p>
    <w:bookmarkStart w:id="15" w:name="south-carolina-rate-case"/>
    <w:p>
      <w:pPr>
        <w:pStyle w:val="Heading3"/>
      </w:pPr>
      <w:r>
        <w:t xml:space="preserve">South Carolina rate case</w:t>
      </w:r>
    </w:p>
    <w:p>
      <w:pPr>
        <w:pStyle w:val="FirstParagraph"/>
      </w:pPr>
      <w:r>
        <w:t xml:space="preserve">At the 1Q call, management expected a South Carolina electric rate-case decision in late June, with rates effective in July. The 2Q report should therefore contain the definitive outcome or a clear update. This is unlikely to drive the stock alone, but it is an important test of regulatory execution—particularly given the larger approval process required for the NEE transaction.</w:t>
      </w:r>
    </w:p>
    <w:bookmarkEnd w:id="15"/>
    <w:bookmarkStart w:id="16" w:name="millstone-recontracting"/>
    <w:p>
      <w:pPr>
        <w:pStyle w:val="Heading3"/>
      </w:pPr>
      <w:r>
        <w:t xml:space="preserve">Millstone recontracting</w:t>
      </w:r>
    </w:p>
    <w:p>
      <w:pPr>
        <w:pStyle w:val="FirstParagraph"/>
      </w:pPr>
      <w:r>
        <w:t xml:space="preserve">Dominion had expected a Connecticut zero-carbon solicitation decision during 2Q, followed by negotiations in 3Q if selected. Management had characterized Millstone as a potential upside catalyst because the existing contract covers a little more than half of the output through August 2029. Investors should look for status, potential contracted volumes, pricing structure, and whether data-center-related demand could become part of the solution.</w:t>
      </w:r>
    </w:p>
    <w:bookmarkEnd w:id="16"/>
    <w:bookmarkStart w:id="17" w:name="storage-and-broader-capital-upside"/>
    <w:p>
      <w:pPr>
        <w:pStyle w:val="Heading3"/>
      </w:pPr>
      <w:r>
        <w:t xml:space="preserve">Storage and broader capital upside</w:t>
      </w:r>
    </w:p>
    <w:p>
      <w:pPr>
        <w:pStyle w:val="FirstParagraph"/>
      </w:pPr>
      <w:r>
        <w:t xml:space="preserve">Virginia’s new storage legislation requires petitions for up to</w:t>
      </w:r>
      <w:r>
        <w:t xml:space="preserve"> </w:t>
      </w:r>
      <w:r>
        <w:rPr>
          <w:b/>
          <w:bCs/>
        </w:rPr>
        <w:t xml:space="preserve">20 GW</w:t>
      </w:r>
      <w:r>
        <w:t xml:space="preserve"> </w:t>
      </w:r>
      <w:r>
        <w:t xml:space="preserve">of short- and long-duration storage by 2045, versus a prior 3 GW target by 2035. Dominion’s prior five-year plan contained roughly $2 billion for storage. Updated IRP or capital-plan detail could strengthen the standalone growth outlook, although it is likely a longer-dated consideration in a transaction context.</w:t>
      </w:r>
    </w:p>
    <w:bookmarkEnd w:id="17"/>
    <w:bookmarkEnd w:id="18"/>
    <w:bookmarkStart w:id="19" w:name="scenario-framework"/>
    <w:p>
      <w:pPr>
        <w:pStyle w:val="Heading2"/>
      </w:pPr>
      <w:r>
        <w:t xml:space="preserve">Scenario framework</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Scenario</w:t>
            </w:r>
          </w:p>
        </w:tc>
        <w:tc>
          <w:tcPr/>
          <w:p>
            <w:pPr>
              <w:pStyle w:val="Compact"/>
            </w:pPr>
            <w:r>
              <w:t xml:space="preserve">What the report/call would show</w:t>
            </w:r>
          </w:p>
        </w:tc>
        <w:tc>
          <w:tcPr/>
          <w:p>
            <w:pPr>
              <w:pStyle w:val="Compact"/>
            </w:pPr>
            <w:r>
              <w:t xml:space="preserve">Likely implication</w:t>
            </w:r>
          </w:p>
        </w:tc>
      </w:tr>
      <w:tr>
        <w:tc>
          <w:tcPr/>
          <w:p>
            <w:pPr>
              <w:pStyle w:val="Compact"/>
            </w:pPr>
            <w:r>
              <w:rPr>
                <w:b/>
                <w:bCs/>
              </w:rPr>
              <w:t xml:space="preserve">Constructive</w:t>
            </w:r>
          </w:p>
        </w:tc>
        <w:tc>
          <w:tcPr/>
          <w:p>
            <w:pPr>
              <w:pStyle w:val="Compact"/>
            </w:pPr>
            <w:r>
              <w:t xml:space="preserve">Guidance reaffirmed; CVOW budget and mid-2027 schedule intact; strong turbine cadence; data-center agreements expand; concrete regulatory-process milestones for NEE deal</w:t>
            </w:r>
          </w:p>
        </w:tc>
        <w:tc>
          <w:tcPr/>
          <w:p>
            <w:pPr>
              <w:pStyle w:val="Compact"/>
            </w:pPr>
            <w:r>
              <w:t xml:space="preserve">Spread may tighten; D trades more closely with implied NEE consideration</w:t>
            </w:r>
          </w:p>
        </w:tc>
      </w:tr>
      <w:tr>
        <w:tc>
          <w:tcPr/>
          <w:p>
            <w:pPr>
              <w:pStyle w:val="Compact"/>
            </w:pPr>
            <w:r>
              <w:rPr>
                <w:b/>
                <w:bCs/>
              </w:rPr>
              <w:t xml:space="preserve">Mixed / base case</w:t>
            </w:r>
          </w:p>
        </w:tc>
        <w:tc>
          <w:tcPr/>
          <w:p>
            <w:pPr>
              <w:pStyle w:val="Compact"/>
            </w:pPr>
            <w:r>
              <w:t xml:space="preserve">Core guidance holds, but limited merger detail; CVOW continues progressing with tariff/PJM items unresolved</w:t>
            </w:r>
          </w:p>
        </w:tc>
        <w:tc>
          <w:tcPr/>
          <w:p>
            <w:pPr>
              <w:pStyle w:val="Compact"/>
            </w:pPr>
            <w:r>
              <w:t xml:space="preserve">D remains primarily driven by NEE stock and regulatory headlines</w:t>
            </w:r>
          </w:p>
        </w:tc>
      </w:tr>
      <w:tr>
        <w:tc>
          <w:tcPr/>
          <w:p>
            <w:pPr>
              <w:pStyle w:val="Compact"/>
            </w:pPr>
            <w:r>
              <w:rPr>
                <w:b/>
                <w:bCs/>
              </w:rPr>
              <w:t xml:space="preserve">Negative</w:t>
            </w:r>
          </w:p>
        </w:tc>
        <w:tc>
          <w:tcPr/>
          <w:p>
            <w:pPr>
              <w:pStyle w:val="Compact"/>
            </w:pPr>
            <w:r>
              <w:t xml:space="preserve">CVOW schedule/cost pressure, reduced contingency, slower data-center conversion, regulatory friction, or uncertainty around financing/ratings</w:t>
            </w:r>
          </w:p>
        </w:tc>
        <w:tc>
          <w:tcPr/>
          <w:p>
            <w:pPr>
              <w:pStyle w:val="Compact"/>
            </w:pPr>
            <w:r>
              <w:t xml:space="preserve">Spread widens and standalone downside becomes more relevant</w:t>
            </w:r>
          </w:p>
        </w:tc>
      </w:tr>
    </w:tbl>
    <w:bookmarkEnd w:id="19"/>
    <w:bookmarkStart w:id="20" w:name="bottom-line"/>
    <w:p>
      <w:pPr>
        <w:pStyle w:val="Heading2"/>
      </w:pPr>
      <w:r>
        <w:t xml:space="preserve">Bottom line</w:t>
      </w:r>
    </w:p>
    <w:p>
      <w:pPr>
        <w:pStyle w:val="FirstParagraph"/>
      </w:pPr>
      <w:r>
        <w:rPr>
          <w:b/>
          <w:bCs/>
        </w:rPr>
        <w:t xml:space="preserve">The operating print matters most insofar as it de-risks the merger.</w:t>
      </w:r>
      <w:r>
        <w:t xml:space="preserve"> </w:t>
      </w:r>
      <w:r>
        <w:t xml:space="preserve">A straightforward quarter—guidance intact, CVOW on schedule, large-load contracting sustained, and no deterioration in balance-sheet or regulatory commentary—should support the case that D is a relatively clean way to own the agreed NEE exchange ratio plus a modest deal spread.</w:t>
      </w:r>
    </w:p>
    <w:p>
      <w:pPr>
        <w:pStyle w:val="BodyText"/>
      </w:pPr>
      <w:r>
        <w:t xml:space="preserve">Conversely, investors should resist focusing only on headline EPS. The highest-value information will be whether Dominion can demonstrate that</w:t>
      </w:r>
      <w:r>
        <w:t xml:space="preserve"> </w:t>
      </w:r>
      <w:r>
        <w:rPr>
          <w:b/>
          <w:bCs/>
        </w:rPr>
        <w:t xml:space="preserve">CVOW execution, data-center-led capital growth, customer affordability, and merger approvals can all coexist without a material regulatory concession or balance-sheet setback</w:t>
      </w:r>
      <w:r>
        <w:t xml:space="preserve">.</w:t>
      </w:r>
    </w:p>
    <w:p>
      <w:pPr>
        <w:pStyle w:val="BodyText"/>
      </w:pPr>
      <w:r>
        <w:rPr>
          <w:i/>
          <w:iCs/>
        </w:rPr>
        <w:t xml:space="preserve">Sources reviewed: Dominion 1Q26 earnings release and transcript; Dominion May 18, 2026 merger-agreement 8-K; Dominion June 16, 2026 financing 8-K; Dominion July 9, 2026 earnings-call notice; historical D and NEE closing prices through July 30, 2026.</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2026-07-31T00:40:45Z</dcterms:created>
  <dcterms:modified xsi:type="dcterms:W3CDTF">2026-07-31T00:40:45Z</dcterms:modified>
</cp:coreProperties>
</file>

<file path=docProps/custom.xml><?xml version="1.0" encoding="utf-8"?>
<Properties xmlns="http://schemas.openxmlformats.org/officeDocument/2006/custom-properties" xmlns:vt="http://schemas.openxmlformats.org/officeDocument/2006/docPropsVTypes"/>
</file>