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Dominion Energy (D)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Dominion Energy, Inc.</w:t>
            </w:r>
          </w:p>
        </w:tc>
        <w:tc>
          <w:tcPr>
            <w:tcW w:type="dxa" w:w="2160"/>
          </w:tcPr>
          <w:p>
            <w:r>
              <w:rPr>
                <w:rFonts w:ascii="Calibri" w:hAnsi="Calibri"/>
                <w:b/>
                <w:sz w:val="22"/>
              </w:rPr>
              <w:t>Earnings Date</w:t>
            </w:r>
          </w:p>
        </w:tc>
        <w:tc>
          <w:tcPr>
            <w:tcW w:type="dxa" w:w="2160"/>
          </w:tcPr>
          <w:p>
            <w:r>
              <w:rPr>
                <w:rFonts w:ascii="Calibri" w:hAnsi="Calibri"/>
                <w:sz w:val="22"/>
              </w:rPr>
              <w:t>July 31, 2026 (Before Market Open)</w:t>
            </w:r>
          </w:p>
        </w:tc>
      </w:tr>
      <w:tr>
        <w:tc>
          <w:tcPr>
            <w:tcW w:type="dxa" w:w="2160"/>
          </w:tcPr>
          <w:p>
            <w:r>
              <w:rPr>
                <w:rFonts w:ascii="Calibri" w:hAnsi="Calibri"/>
                <w:b/>
                <w:sz w:val="22"/>
              </w:rPr>
              <w:t>Ticker</w:t>
            </w:r>
          </w:p>
        </w:tc>
        <w:tc>
          <w:tcPr>
            <w:tcW w:type="dxa" w:w="2160"/>
          </w:tcPr>
          <w:p>
            <w:r>
              <w:rPr>
                <w:rFonts w:ascii="Calibri" w:hAnsi="Calibri"/>
                <w:sz w:val="22"/>
              </w:rPr>
              <w:t>NYSE: D</w:t>
            </w:r>
          </w:p>
        </w:tc>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r>
      <w:tr>
        <w:tc>
          <w:tcPr>
            <w:tcW w:type="dxa" w:w="2160"/>
          </w:tcPr>
          <w:p>
            <w:r>
              <w:rPr>
                <w:rFonts w:ascii="Calibri" w:hAnsi="Calibri"/>
                <w:b/>
                <w:sz w:val="22"/>
              </w:rPr>
              <w:t>Sector</w:t>
            </w:r>
          </w:p>
        </w:tc>
        <w:tc>
          <w:tcPr>
            <w:tcW w:type="dxa" w:w="2160"/>
          </w:tcPr>
          <w:p>
            <w:r>
              <w:rPr>
                <w:rFonts w:ascii="Calibri" w:hAnsi="Calibri"/>
                <w:sz w:val="22"/>
              </w:rPr>
              <w:t>Utilities — Regulated Electric</w:t>
            </w:r>
          </w:p>
        </w:tc>
        <w:tc>
          <w:tcPr>
            <w:tcW w:type="dxa" w:w="2160"/>
          </w:tcPr>
          <w:p>
            <w:r>
              <w:rPr>
                <w:rFonts w:ascii="Calibri" w:hAnsi="Calibri"/>
                <w:b/>
                <w:sz w:val="22"/>
              </w:rPr>
              <w:t>Prepared Date</w:t>
            </w:r>
          </w:p>
        </w:tc>
        <w:tc>
          <w:tcPr>
            <w:tcW w:type="dxa" w:w="2160"/>
          </w:tcPr>
          <w:p>
            <w:r>
              <w:rPr>
                <w:rFonts w:ascii="Calibri" w:hAnsi="Calibri"/>
                <w:sz w:val="22"/>
              </w:rPr>
              <w:t>July 30,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b/>
          <w:color w:val="525866"/>
          <w:sz w:val="22"/>
        </w:rPr>
        <w:t xml:space="preserve">The setup into D’s Q2 2026 print is a low bar with a modest beat likely, but the quarter itself is almost secondary — the </w:t>
      </w:r>
      <w:r>
        <w:rPr>
          <w:rFonts w:ascii="Calibri" w:hAnsi="Calibri"/>
          <w:b/>
          <w:color w:val="002FA7"/>
          <w:sz w:val="22"/>
        </w:rPr>
        <w:t>NEE/D merger announcement on May 18</w:t>
      </w:r>
      <w:r>
        <w:rPr>
          <w:rFonts w:ascii="Calibri" w:hAnsi="Calibri"/>
          <w:color w:val="525866"/>
          <w:sz w:val="22"/>
        </w:rPr>
        <w:t xml:space="preserve"> has fundamentally reframed the investment thesis, and the biggest swing factor is any update on regulatory approval timelines and deal confidence.</w:t>
      </w:r>
    </w:p>
    <w:p>
      <w:r>
        <w:rPr>
          <w:rFonts w:ascii="Calibri" w:hAnsi="Calibri"/>
          <w:color w:val="525866"/>
          <w:sz w:val="22"/>
        </w:rPr>
        <w:t xml:space="preserve">Dominion heads into Q2 2026 earnings with consensus Operating EPS at </w:t>
      </w:r>
      <w:r>
        <w:rPr>
          <w:rFonts w:ascii="Calibri" w:hAnsi="Calibri"/>
          <w:b/>
          <w:color w:val="525866"/>
          <w:sz w:val="22"/>
        </w:rPr>
        <w:t>$0.664</w:t>
      </w:r>
      <w:r>
        <w:rPr>
          <w:rFonts w:ascii="Calibri" w:hAnsi="Calibri"/>
          <w:color w:val="525866"/>
          <w:sz w:val="22"/>
        </w:rPr>
        <w:t xml:space="preserve"> — a seasonally soft quarter for a regulated utility and a low bar relative to the $0.95 Q1 2026 print. Management affirmed full-year 2026 guidance of $3.40–$3.60 (midpoint ~$3.50) on the Q1 call, and the FY consensus of $3.56 sits comfortably within that range, suggesting the street is not pricing in any guidance risk. The tone from the Q1 call was highly confident: CVOW is over 75% complete with first power delivered in March, data center contracted capacity surpassed 50 GW, and management flagged two offsetting CVOW cost factors (PJM transmission reallocation and steel/aluminum tariffs) that roughly net to zero, leaving the project budget modestly lower at $11.4 billion. The dominant event since last earnings is the </w:t>
      </w:r>
      <w:r>
        <w:rPr>
          <w:rFonts w:ascii="Calibri" w:hAnsi="Calibri"/>
          <w:b/>
          <w:color w:val="525866"/>
          <w:sz w:val="22"/>
        </w:rPr>
        <w:t>all-stock merger agreement with NextEra Energy (announced May 18, 2026)</w:t>
      </w:r>
      <w:r>
        <w:rPr>
          <w:rFonts w:ascii="Calibri" w:hAnsi="Calibri"/>
          <w:color w:val="525866"/>
          <w:sz w:val="22"/>
        </w:rPr>
        <w:t xml:space="preserve">, which drove D shares up ~9% on the announcement day and has kept the stock elevated — D is up ~9% since the Q1 print vs. XLU down ~4%, a stark divergence driven entirely by deal premium rather than fundamental revisions. The wildcard heading into the print is any commentary on the </w:t>
      </w:r>
      <w:r>
        <w:rPr>
          <w:rFonts w:ascii="Calibri" w:hAnsi="Calibri"/>
          <w:b/>
          <w:color w:val="525866"/>
          <w:sz w:val="22"/>
        </w:rPr>
        <w:t>Virginia SCC regulatory review process</w:t>
      </w:r>
      <w:r>
        <w:rPr>
          <w:rFonts w:ascii="Calibri" w:hAnsi="Calibri"/>
          <w:color w:val="525866"/>
          <w:sz w:val="22"/>
        </w:rPr>
        <w:t xml:space="preserve"> (NEE filed for state approvals on July 15), Millstone recontracting clarity (decisions expected in Q2/Q3), and whether the South Carolina DESC rate case outcome (decision expected late June) came in constructively.</w:t>
      </w:r>
    </w:p>
    <w:p>
      <w:r>
        <w:rPr>
          <w:rFonts w:ascii="Calibri" w:hAnsi="Calibri"/>
          <w:b/>
          <w:color w:val="525866"/>
          <w:sz w:val="22"/>
        </w:rPr>
        <w:t xml:space="preserve">Bar: </w:t>
      </w:r>
      <w:r>
        <w:rPr>
          <w:rFonts w:ascii="Calibri" w:hAnsi="Calibri"/>
          <w:color w:val="525866"/>
          <w:sz w:val="22"/>
        </w:rPr>
        <w:t>Consensus Operating EPS of $0.664 for Q2 2026 is a low bar — D has beaten consensus in 6 of the last 8 quarters, and Q2 is seasonally the weakest quarter. The revenue bar of $4.09B is also modest relative to the $5.02B Q1 2026 actual.</w:t>
      </w:r>
    </w:p>
    <w:p>
      <w:r>
        <w:rPr>
          <w:rFonts w:ascii="Calibri" w:hAnsi="Calibri"/>
          <w:b/>
          <w:color w:val="525866"/>
          <w:sz w:val="22"/>
        </w:rPr>
        <w:t xml:space="preserve">Guidance/Tone: </w:t>
      </w:r>
      <w:r>
        <w:rPr>
          <w:rFonts w:ascii="Calibri" w:hAnsi="Calibri"/>
          <w:color w:val="525866"/>
          <w:sz w:val="22"/>
        </w:rPr>
        <w:t>Management’s posture has been highly confident since the Q1 call. Full-year 2026 Operating EPS guidance ($3.40–$3.60) was affirmed, long-term 5–7% growth reaffirmed with a bias toward the upper half starting 2028, and CVOW execution commentary was materially more positive than prior quarters.</w:t>
      </w:r>
    </w:p>
    <w:p>
      <w:r>
        <w:rPr>
          <w:rFonts w:ascii="Calibri" w:hAnsi="Calibri"/>
          <w:b/>
          <w:color w:val="525866"/>
          <w:sz w:val="22"/>
        </w:rPr>
        <w:t xml:space="preserve">Estimate Trajectory: </w:t>
      </w:r>
      <w:r>
        <w:rPr>
          <w:rFonts w:ascii="Calibri" w:hAnsi="Calibri"/>
          <w:color w:val="525866"/>
          <w:sz w:val="22"/>
        </w:rPr>
        <w:t>FY 2026 consensus has been essentially flat since the Q1 print ($3.562 vs. $3.586 as of 5/6/26), suggesting estimates are tracking guidance with no meaningful divergence. Q2 2026 consensus of $0.664 is slightly below the $0.800 that was in the model as of 5/6/26, reflecting seasonal normalization.</w:t>
      </w:r>
    </w:p>
    <w:p>
      <w:r>
        <w:rPr>
          <w:rFonts w:ascii="Calibri" w:hAnsi="Calibri"/>
          <w:b/>
          <w:color w:val="525866"/>
          <w:sz w:val="22"/>
        </w:rPr>
        <w:t xml:space="preserve">Stock Setup: </w:t>
      </w:r>
      <w:r>
        <w:rPr>
          <w:rFonts w:ascii="Calibri" w:hAnsi="Calibri"/>
          <w:color w:val="525866"/>
          <w:sz w:val="22"/>
        </w:rPr>
        <w:t>D has re-rated sharply higher since the merger announcement, trading at ~20x NTM EPS vs. a peer average of ~22x — the stock is pricing in deal premium rather than standalone fundamentals. The XLU has underperformed D by ~13% since the Q1 print, making D’s outperformance almost entirely deal-driven.</w:t>
      </w:r>
    </w:p>
    <w:p>
      <w:r>
        <w:rPr>
          <w:rFonts w:ascii="Calibri" w:hAnsi="Calibri"/>
          <w:b/>
          <w:color w:val="525866"/>
          <w:sz w:val="22"/>
        </w:rPr>
        <w:t xml:space="preserve">Wildcard: </w:t>
      </w:r>
      <w:r>
        <w:rPr>
          <w:rFonts w:ascii="Calibri" w:hAnsi="Calibri"/>
          <w:color w:val="525866"/>
          <w:sz w:val="22"/>
        </w:rPr>
        <w:t>Any update on the Virginia SCC review timeline (statutory 6-month process initiated July 15), Millstone recontracting outcome (solicitation decisions expected Q2, negotiations Q3), or CVOW turbine installation cadence through summer 2026 could move the stock materially beyond the quarterly EPS print.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low bar for Q2 2026 — Operating EPS of $0.664 is the weakest quarter in the trailing eight, and revenue of $4.09B reflects normal seasonal softness. </w:t>
      </w:r>
      <w:r>
        <w:rPr>
          <w:rFonts w:ascii="Calibri" w:hAnsi="Calibri"/>
          <w:b/>
          <w:color w:val="525866"/>
          <w:sz w:val="22"/>
        </w:rPr>
        <w:t>Operating EPS is the primary swing factor</w:t>
      </w:r>
      <w:r>
        <w:rPr>
          <w:rFonts w:ascii="Calibri" w:hAnsi="Calibri"/>
          <w:color w:val="525866"/>
          <w:sz w:val="22"/>
        </w:rPr>
        <w:t>; CVOW execution and data center load growth are the qualitative reads that will drive the stock.</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Operating EPS — Diluted ($)</w:t>
            </w:r>
          </w:p>
        </w:tc>
        <w:tc>
          <w:tcPr>
            <w:tcW w:type="dxa" w:w="1234"/>
          </w:tcPr>
          <w:p>
            <w:r>
              <w:rPr>
                <w:rFonts w:ascii="Calibri" w:hAnsi="Calibri"/>
                <w:sz w:val="22"/>
              </w:rPr>
              <w:t>$0.950</w:t>
            </w:r>
          </w:p>
        </w:tc>
        <w:tc>
          <w:tcPr>
            <w:tcW w:type="dxa" w:w="1234"/>
          </w:tcPr>
          <w:p>
            <w:r>
              <w:rPr>
                <w:rFonts w:ascii="Calibri" w:hAnsi="Calibri"/>
                <w:sz w:val="22"/>
              </w:rPr>
              <w:t>$0.750</w:t>
            </w:r>
          </w:p>
        </w:tc>
        <w:tc>
          <w:tcPr>
            <w:tcW w:type="dxa" w:w="1234"/>
          </w:tcPr>
          <w:p>
            <w:r>
              <w:rPr>
                <w:rFonts w:ascii="Calibri" w:hAnsi="Calibri"/>
                <w:sz w:val="22"/>
              </w:rPr>
              <w:t>$0.664</w:t>
            </w:r>
          </w:p>
        </w:tc>
        <w:tc>
          <w:tcPr>
            <w:tcW w:type="dxa" w:w="1234"/>
          </w:tcPr>
          <w:p>
            <w:r>
              <w:rPr>
                <w:rFonts w:ascii="Calibri" w:hAnsi="Calibri"/>
                <w:sz w:val="22"/>
              </w:rPr>
              <w:t>−11.5%</w:t>
            </w:r>
          </w:p>
        </w:tc>
        <w:tc>
          <w:tcPr>
            <w:tcW w:type="dxa" w:w="1234"/>
          </w:tcPr>
          <w:p>
            <w:r>
              <w:rPr>
                <w:rFonts w:ascii="Calibri" w:hAnsi="Calibri"/>
                <w:sz w:val="22"/>
              </w:rPr>
              <w:t>$3.40–$3.60 (mid $3.50)</w:t>
            </w:r>
          </w:p>
        </w:tc>
        <w:tc>
          <w:tcPr>
            <w:tcW w:type="dxa" w:w="1234"/>
          </w:tcPr>
          <w:p>
            <w:r>
              <w:rPr>
                <w:rFonts w:ascii="Calibri" w:hAnsi="Calibri"/>
                <w:sz w:val="22"/>
              </w:rPr>
              <w:t>FY cons. $3.562 = +1.8% above mid</w:t>
            </w:r>
          </w:p>
        </w:tc>
      </w:tr>
      <w:tr>
        <w:tc>
          <w:tcPr>
            <w:tcW w:type="dxa" w:w="1234"/>
          </w:tcPr>
          <w:p>
            <w:r>
              <w:rPr>
                <w:rFonts w:ascii="Calibri" w:hAnsi="Calibri"/>
                <w:sz w:val="22"/>
              </w:rPr>
              <w:t>Total Revenue ($B)</w:t>
            </w:r>
          </w:p>
        </w:tc>
        <w:tc>
          <w:tcPr>
            <w:tcW w:type="dxa" w:w="1234"/>
          </w:tcPr>
          <w:p>
            <w:r>
              <w:rPr>
                <w:rFonts w:ascii="Calibri" w:hAnsi="Calibri"/>
                <w:sz w:val="22"/>
              </w:rPr>
              <w:t>$5.019B</w:t>
            </w:r>
          </w:p>
        </w:tc>
        <w:tc>
          <w:tcPr>
            <w:tcW w:type="dxa" w:w="1234"/>
          </w:tcPr>
          <w:p>
            <w:r>
              <w:rPr>
                <w:rFonts w:ascii="Calibri" w:hAnsi="Calibri"/>
                <w:sz w:val="22"/>
              </w:rPr>
              <w:t>$3.810B</w:t>
            </w:r>
          </w:p>
        </w:tc>
        <w:tc>
          <w:tcPr>
            <w:tcW w:type="dxa" w:w="1234"/>
          </w:tcPr>
          <w:p>
            <w:r>
              <w:rPr>
                <w:rFonts w:ascii="Calibri" w:hAnsi="Calibri"/>
                <w:sz w:val="22"/>
              </w:rPr>
              <w:t>$4.093B</w:t>
            </w:r>
          </w:p>
        </w:tc>
        <w:tc>
          <w:tcPr>
            <w:tcW w:type="dxa" w:w="1234"/>
          </w:tcPr>
          <w:p>
            <w:r>
              <w:rPr>
                <w:rFonts w:ascii="Calibri" w:hAnsi="Calibri"/>
                <w:sz w:val="22"/>
              </w:rPr>
              <w:t>+7.4%</w:t>
            </w:r>
          </w:p>
        </w:tc>
        <w:tc>
          <w:tcPr>
            <w:tcW w:type="dxa" w:w="1234"/>
          </w:tcPr>
          <w:p>
            <w:r>
              <w:rPr>
                <w:rFonts w:ascii="Calibri" w:hAnsi="Calibri"/>
                <w:sz w:val="22"/>
              </w:rPr>
              <w:t>N/A — not guided explicitly</w:t>
            </w:r>
          </w:p>
        </w:tc>
        <w:tc>
          <w:tcPr>
            <w:tcW w:type="dxa" w:w="1234"/>
          </w:tcPr>
          <w:p>
            <w:r>
              <w:rPr>
                <w:rFonts w:ascii="Calibri" w:hAnsi="Calibri"/>
                <w:sz w:val="22"/>
              </w:rPr>
              <w:t>N/A</w:t>
            </w:r>
          </w:p>
        </w:tc>
      </w:tr>
      <w:tr>
        <w:tc>
          <w:tcPr>
            <w:tcW w:type="dxa" w:w="1234"/>
          </w:tcPr>
          <w:p>
            <w:r>
              <w:rPr>
                <w:rFonts w:ascii="Calibri" w:hAnsi="Calibri"/>
                <w:sz w:val="22"/>
              </w:rPr>
              <w:t>Funds from Operations (FFO) ($B)</w:t>
            </w:r>
          </w:p>
        </w:tc>
        <w:tc>
          <w:tcPr>
            <w:tcW w:type="dxa" w:w="1234"/>
          </w:tcPr>
          <w:p>
            <w:r>
              <w:rPr>
                <w:rFonts w:ascii="Calibri" w:hAnsi="Calibri"/>
                <w:sz w:val="22"/>
              </w:rPr>
              <w:t>$1.728B</w:t>
            </w:r>
          </w:p>
        </w:tc>
        <w:tc>
          <w:tcPr>
            <w:tcW w:type="dxa" w:w="1234"/>
          </w:tcPr>
          <w:p>
            <w:r>
              <w:rPr>
                <w:rFonts w:ascii="Calibri" w:hAnsi="Calibri"/>
                <w:sz w:val="22"/>
              </w:rPr>
              <w:t>$1.333B</w:t>
            </w:r>
          </w:p>
        </w:tc>
        <w:tc>
          <w:tcPr>
            <w:tcW w:type="dxa" w:w="1234"/>
          </w:tcPr>
          <w:p>
            <w:r>
              <w:rPr>
                <w:rFonts w:ascii="Calibri" w:hAnsi="Calibri"/>
                <w:sz w:val="22"/>
              </w:rPr>
              <w:t>$1.422B</w:t>
            </w:r>
          </w:p>
        </w:tc>
        <w:tc>
          <w:tcPr>
            <w:tcW w:type="dxa" w:w="1234"/>
          </w:tcPr>
          <w:p>
            <w:r>
              <w:rPr>
                <w:rFonts w:ascii="Calibri" w:hAnsi="Calibri"/>
                <w:sz w:val="22"/>
              </w:rPr>
              <w:t>+6.7%</w:t>
            </w:r>
          </w:p>
        </w:tc>
        <w:tc>
          <w:tcPr>
            <w:tcW w:type="dxa" w:w="1234"/>
          </w:tcPr>
          <w:p>
            <w:r>
              <w:rPr>
                <w:rFonts w:ascii="Calibri" w:hAnsi="Calibri"/>
                <w:sz w:val="22"/>
              </w:rPr>
              <w:t>FFO/Debt &gt;15% (FY target)</w:t>
            </w:r>
          </w:p>
        </w:tc>
        <w:tc>
          <w:tcPr>
            <w:tcW w:type="dxa" w:w="1234"/>
          </w:tcPr>
          <w:p>
            <w:r>
              <w:rPr>
                <w:rFonts w:ascii="Calibri" w:hAnsi="Calibri"/>
                <w:sz w:val="22"/>
              </w:rPr>
              <w:t>FY cons. FFO/Debt 12.7% vs. &gt;15% target</w:t>
            </w:r>
          </w:p>
        </w:tc>
      </w:tr>
      <w:tr>
        <w:tc>
          <w:tcPr>
            <w:tcW w:type="dxa" w:w="1234"/>
          </w:tcPr>
          <w:p>
            <w:r>
              <w:rPr>
                <w:rFonts w:ascii="Calibri" w:hAnsi="Calibri"/>
                <w:sz w:val="22"/>
              </w:rPr>
              <w:t>FFO / Total Debt (%)</w:t>
            </w:r>
          </w:p>
        </w:tc>
        <w:tc>
          <w:tcPr>
            <w:tcW w:type="dxa" w:w="1234"/>
          </w:tcPr>
          <w:p>
            <w:r>
              <w:rPr>
                <w:rFonts w:ascii="Calibri" w:hAnsi="Calibri"/>
                <w:sz w:val="22"/>
              </w:rPr>
              <w:t>&gt;15% (LTM Q1 2026)</w:t>
            </w:r>
          </w:p>
        </w:tc>
        <w:tc>
          <w:tcPr>
            <w:tcW w:type="dxa" w:w="1234"/>
          </w:tcPr>
          <w:p>
            <w:r>
              <w:rPr>
                <w:rFonts w:ascii="Calibri" w:hAnsi="Calibri"/>
                <w:sz w:val="22"/>
              </w:rPr>
              <w:t>N/A — not reported quarterly</w:t>
            </w:r>
          </w:p>
        </w:tc>
        <w:tc>
          <w:tcPr>
            <w:tcW w:type="dxa" w:w="1234"/>
          </w:tcPr>
          <w:p>
            <w:r>
              <w:rPr>
                <w:rFonts w:ascii="Calibri" w:hAnsi="Calibri"/>
                <w:sz w:val="22"/>
              </w:rPr>
              <w:t>N/A — annual metric</w:t>
            </w:r>
          </w:p>
        </w:tc>
        <w:tc>
          <w:tcPr>
            <w:tcW w:type="dxa" w:w="1234"/>
          </w:tcPr>
          <w:p>
            <w:r>
              <w:rPr>
                <w:rFonts w:ascii="Calibri" w:hAnsi="Calibri"/>
                <w:sz w:val="22"/>
              </w:rPr>
              <w:t>N/A</w:t>
            </w:r>
          </w:p>
        </w:tc>
        <w:tc>
          <w:tcPr>
            <w:tcW w:type="dxa" w:w="1234"/>
          </w:tcPr>
          <w:p>
            <w:r>
              <w:rPr>
                <w:rFonts w:ascii="Calibri" w:hAnsi="Calibri"/>
                <w:sz w:val="22"/>
              </w:rPr>
              <w:t>&gt;15% (FY 2026 target)</w:t>
            </w:r>
          </w:p>
        </w:tc>
        <w:tc>
          <w:tcPr>
            <w:tcW w:type="dxa" w:w="1234"/>
          </w:tcPr>
          <w:p>
            <w:r>
              <w:rPr>
                <w:rFonts w:ascii="Calibri" w:hAnsi="Calibri"/>
                <w:sz w:val="22"/>
              </w:rPr>
              <w:t>FY cons. 12.7% — below target</w:t>
            </w:r>
          </w:p>
        </w:tc>
      </w:tr>
    </w:tbl>
    <w:p>
      <w:r>
        <w:rPr>
          <w:rFonts w:ascii="Calibri" w:hAnsi="Calibri"/>
          <w:color w:val="525866"/>
          <w:sz w:val="22"/>
        </w:rPr>
        <w:t>Source: Visible Alpha Consensus and Actuals Data. Operating EPS and Total Revenue consensus from VA. FFO/Total Debt FY consensus 12.7% from VA; management targets &gt;15% on a Moody’s basis which uses a different methodology than VA’s calculation.</w:t>
      </w:r>
    </w:p>
    <w:p>
      <w:pPr>
        <w:pStyle w:val="Heading2"/>
      </w:pPr>
      <w:r>
        <w:rPr>
          <w:rFonts w:ascii="Calibri" w:hAnsi="Calibri"/>
          <w:b/>
          <w:color w:val="3B4259"/>
          <w:sz w:val="28"/>
        </w:rPr>
        <w:t>Table 2 — Beat/Miss History (Last 8 Quarters — Top 2 KPIs)</w:t>
      </w:r>
    </w:p>
    <w:p>
      <w:pPr>
        <w:pStyle w:val="Heading3"/>
      </w:pPr>
      <w:r>
        <w:rPr>
          <w:rFonts w:ascii="Calibri" w:hAnsi="Calibri"/>
          <w:b/>
          <w:color w:val="3B4259"/>
          <w:sz w:val="24"/>
        </w:rPr>
        <w:t>Operating EPS — Diluted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$0.65</w:t>
            </w:r>
          </w:p>
        </w:tc>
        <w:tc>
          <w:tcPr>
            <w:tcW w:type="dxa" w:w="1728"/>
          </w:tcPr>
          <w:p>
            <w:r>
              <w:rPr>
                <w:rFonts w:ascii="Calibri" w:hAnsi="Calibri"/>
                <w:sz w:val="22"/>
              </w:rPr>
              <w:t>$0.567</w:t>
            </w:r>
          </w:p>
        </w:tc>
        <w:tc>
          <w:tcPr>
            <w:tcW w:type="dxa" w:w="1728"/>
          </w:tcPr>
          <w:p>
            <w:r>
              <w:rPr>
                <w:rFonts w:ascii="Calibri" w:hAnsi="Calibri"/>
                <w:sz w:val="22"/>
              </w:rPr>
              <w:t>+14.7%</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$0.98</w:t>
            </w:r>
          </w:p>
        </w:tc>
        <w:tc>
          <w:tcPr>
            <w:tcW w:type="dxa" w:w="1728"/>
          </w:tcPr>
          <w:p>
            <w:r>
              <w:rPr>
                <w:rFonts w:ascii="Calibri" w:hAnsi="Calibri"/>
                <w:sz w:val="22"/>
              </w:rPr>
              <w:t>$0.926</w:t>
            </w:r>
          </w:p>
        </w:tc>
        <w:tc>
          <w:tcPr>
            <w:tcW w:type="dxa" w:w="1728"/>
          </w:tcPr>
          <w:p>
            <w:r>
              <w:rPr>
                <w:rFonts w:ascii="Calibri" w:hAnsi="Calibri"/>
                <w:sz w:val="22"/>
              </w:rPr>
              <w:t>+5.9%</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$0.58</w:t>
            </w:r>
          </w:p>
        </w:tc>
        <w:tc>
          <w:tcPr>
            <w:tcW w:type="dxa" w:w="1728"/>
          </w:tcPr>
          <w:p>
            <w:r>
              <w:rPr>
                <w:rFonts w:ascii="Calibri" w:hAnsi="Calibri"/>
                <w:sz w:val="22"/>
              </w:rPr>
              <w:t>$0.549</w:t>
            </w:r>
          </w:p>
        </w:tc>
        <w:tc>
          <w:tcPr>
            <w:tcW w:type="dxa" w:w="1728"/>
          </w:tcPr>
          <w:p>
            <w:r>
              <w:rPr>
                <w:rFonts w:ascii="Calibri" w:hAnsi="Calibri"/>
                <w:sz w:val="22"/>
              </w:rPr>
              <w:t>+5.6%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$0.942</w:t>
            </w:r>
          </w:p>
        </w:tc>
        <w:tc>
          <w:tcPr>
            <w:tcW w:type="dxa" w:w="1728"/>
          </w:tcPr>
          <w:p>
            <w:r>
              <w:rPr>
                <w:rFonts w:ascii="Calibri" w:hAnsi="Calibri"/>
                <w:sz w:val="22"/>
              </w:rPr>
              <w:t>$0.736</w:t>
            </w:r>
          </w:p>
        </w:tc>
        <w:tc>
          <w:tcPr>
            <w:tcW w:type="dxa" w:w="1728"/>
          </w:tcPr>
          <w:p>
            <w:r>
              <w:rPr>
                <w:rFonts w:ascii="Calibri" w:hAnsi="Calibri"/>
                <w:sz w:val="22"/>
              </w:rPr>
              <w:t>+28.0%</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$0.75</w:t>
            </w:r>
          </w:p>
        </w:tc>
        <w:tc>
          <w:tcPr>
            <w:tcW w:type="dxa" w:w="1728"/>
          </w:tcPr>
          <w:p>
            <w:r>
              <w:rPr>
                <w:rFonts w:ascii="Calibri" w:hAnsi="Calibri"/>
                <w:sz w:val="22"/>
              </w:rPr>
              <w:t>$0.669</w:t>
            </w:r>
          </w:p>
        </w:tc>
        <w:tc>
          <w:tcPr>
            <w:tcW w:type="dxa" w:w="1728"/>
          </w:tcPr>
          <w:p>
            <w:r>
              <w:rPr>
                <w:rFonts w:ascii="Calibri" w:hAnsi="Calibri"/>
                <w:sz w:val="22"/>
              </w:rPr>
              <w:t>+12.1%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$1.06</w:t>
            </w:r>
          </w:p>
        </w:tc>
        <w:tc>
          <w:tcPr>
            <w:tcW w:type="dxa" w:w="1728"/>
          </w:tcPr>
          <w:p>
            <w:r>
              <w:rPr>
                <w:rFonts w:ascii="Calibri" w:hAnsi="Calibri"/>
                <w:sz w:val="22"/>
              </w:rPr>
              <w:t>$0.959</w:t>
            </w:r>
          </w:p>
        </w:tc>
        <w:tc>
          <w:tcPr>
            <w:tcW w:type="dxa" w:w="1728"/>
          </w:tcPr>
          <w:p>
            <w:r>
              <w:rPr>
                <w:rFonts w:ascii="Calibri" w:hAnsi="Calibri"/>
                <w:sz w:val="22"/>
              </w:rPr>
              <w:t>+10.5%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$0.68</w:t>
            </w:r>
          </w:p>
        </w:tc>
        <w:tc>
          <w:tcPr>
            <w:tcW w:type="dxa" w:w="1728"/>
          </w:tcPr>
          <w:p>
            <w:r>
              <w:rPr>
                <w:rFonts w:ascii="Calibri" w:hAnsi="Calibri"/>
                <w:sz w:val="22"/>
              </w:rPr>
              <w:t>$0.676</w:t>
            </w:r>
          </w:p>
        </w:tc>
        <w:tc>
          <w:tcPr>
            <w:tcW w:type="dxa" w:w="1728"/>
          </w:tcPr>
          <w:p>
            <w:r>
              <w:rPr>
                <w:rFonts w:ascii="Calibri" w:hAnsi="Calibri"/>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$0.950</w:t>
            </w:r>
          </w:p>
        </w:tc>
        <w:tc>
          <w:tcPr>
            <w:tcW w:type="dxa" w:w="1728"/>
          </w:tcPr>
          <w:p>
            <w:r>
              <w:rPr>
                <w:rFonts w:ascii="Calibri" w:hAnsi="Calibri"/>
                <w:sz w:val="22"/>
              </w:rPr>
              <w:t>$0.903</w:t>
            </w:r>
          </w:p>
        </w:tc>
        <w:tc>
          <w:tcPr>
            <w:tcW w:type="dxa" w:w="1728"/>
          </w:tcPr>
          <w:p>
            <w:r>
              <w:rPr>
                <w:rFonts w:ascii="Calibri" w:hAnsi="Calibri"/>
                <w:sz w:val="22"/>
              </w:rPr>
              <w:t>+5.2%</w:t>
            </w:r>
          </w:p>
        </w:tc>
        <w:tc>
          <w:tcPr>
            <w:tcW w:type="dxa" w:w="1728"/>
          </w:tcPr>
          <w:p>
            <w:r>
              <w:rPr>
                <w:rFonts w:ascii="Calibri" w:hAnsi="Calibri"/>
                <w:b/>
                <w:color w:val="30A46C"/>
                <w:sz w:val="22"/>
              </w:rPr>
              <w:t>Beat</w:t>
            </w:r>
          </w:p>
        </w:tc>
      </w:tr>
    </w:tbl>
    <w:p>
      <w:pPr>
        <w:pStyle w:val="Heading3"/>
      </w:pPr>
      <w:r>
        <w:rPr>
          <w:rFonts w:ascii="Calibri" w:hAnsi="Calibri"/>
          <w:b/>
          <w:color w:val="3B4259"/>
          <w:sz w:val="24"/>
        </w:rPr>
        <w:t>Total Revenue ($B)</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$3.486</w:t>
            </w:r>
          </w:p>
        </w:tc>
        <w:tc>
          <w:tcPr>
            <w:tcW w:type="dxa" w:w="1728"/>
          </w:tcPr>
          <w:p>
            <w:r>
              <w:rPr>
                <w:rFonts w:ascii="Calibri" w:hAnsi="Calibri"/>
                <w:sz w:val="22"/>
              </w:rPr>
              <w:t>$3.677</w:t>
            </w:r>
          </w:p>
        </w:tc>
        <w:tc>
          <w:tcPr>
            <w:tcW w:type="dxa" w:w="1728"/>
          </w:tcPr>
          <w:p>
            <w:r>
              <w:rPr>
                <w:rFonts w:ascii="Calibri" w:hAnsi="Calibri"/>
                <w:sz w:val="22"/>
              </w:rPr>
              <w:t>−5.2%</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$3.941</w:t>
            </w:r>
          </w:p>
        </w:tc>
        <w:tc>
          <w:tcPr>
            <w:tcW w:type="dxa" w:w="1728"/>
          </w:tcPr>
          <w:p>
            <w:r>
              <w:rPr>
                <w:rFonts w:ascii="Calibri" w:hAnsi="Calibri"/>
                <w:sz w:val="22"/>
              </w:rPr>
              <w:t>$4.237</w:t>
            </w:r>
          </w:p>
        </w:tc>
        <w:tc>
          <w:tcPr>
            <w:tcW w:type="dxa" w:w="1728"/>
          </w:tcPr>
          <w:p>
            <w:r>
              <w:rPr>
                <w:rFonts w:ascii="Calibri" w:hAnsi="Calibri"/>
                <w:sz w:val="22"/>
              </w:rPr>
              <w:t>−7.0%</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$3.400</w:t>
            </w:r>
          </w:p>
        </w:tc>
        <w:tc>
          <w:tcPr>
            <w:tcW w:type="dxa" w:w="1728"/>
          </w:tcPr>
          <w:p>
            <w:r>
              <w:rPr>
                <w:rFonts w:ascii="Calibri" w:hAnsi="Calibri"/>
                <w:sz w:val="22"/>
              </w:rPr>
              <w:t>$3.893</w:t>
            </w:r>
          </w:p>
        </w:tc>
        <w:tc>
          <w:tcPr>
            <w:tcW w:type="dxa" w:w="1728"/>
          </w:tcPr>
          <w:p>
            <w:r>
              <w:rPr>
                <w:rFonts w:ascii="Calibri" w:hAnsi="Calibri"/>
                <w:sz w:val="22"/>
              </w:rPr>
              <w:t>−12.7%</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$4.076</w:t>
            </w:r>
          </w:p>
        </w:tc>
        <w:tc>
          <w:tcPr>
            <w:tcW w:type="dxa" w:w="1728"/>
          </w:tcPr>
          <w:p>
            <w:r>
              <w:rPr>
                <w:rFonts w:ascii="Calibri" w:hAnsi="Calibri"/>
                <w:sz w:val="22"/>
              </w:rPr>
              <w:t>$3.822</w:t>
            </w:r>
          </w:p>
        </w:tc>
        <w:tc>
          <w:tcPr>
            <w:tcW w:type="dxa" w:w="1728"/>
          </w:tcPr>
          <w:p>
            <w:r>
              <w:rPr>
                <w:rFonts w:ascii="Calibri" w:hAnsi="Calibri"/>
                <w:sz w:val="22"/>
              </w:rPr>
              <w:t>+6.6%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$3.810</w:t>
            </w:r>
          </w:p>
        </w:tc>
        <w:tc>
          <w:tcPr>
            <w:tcW w:type="dxa" w:w="1728"/>
          </w:tcPr>
          <w:p>
            <w:r>
              <w:rPr>
                <w:rFonts w:ascii="Calibri" w:hAnsi="Calibri"/>
                <w:sz w:val="22"/>
              </w:rPr>
              <w:t>$3.821</w:t>
            </w:r>
          </w:p>
        </w:tc>
        <w:tc>
          <w:tcPr>
            <w:tcW w:type="dxa" w:w="1728"/>
          </w:tcPr>
          <w:p>
            <w:r>
              <w:rPr>
                <w:rFonts w:ascii="Calibri" w:hAnsi="Calibri"/>
                <w:sz w:val="22"/>
              </w:rPr>
              <w:t>−0.3%</w:t>
            </w:r>
          </w:p>
        </w:tc>
        <w:tc>
          <w:tcPr>
            <w:tcW w:type="dxa" w:w="1728"/>
          </w:tcPr>
          <w:p>
            <w:r>
              <w:rPr>
                <w:rFonts w:ascii="Calibri" w:hAnsi="Calibri"/>
                <w:sz w:val="22"/>
              </w:rPr>
              <w:t>In-Line</w:t>
            </w:r>
          </w:p>
        </w:tc>
      </w:tr>
      <w:tr>
        <w:tc>
          <w:tcPr>
            <w:tcW w:type="dxa" w:w="1728"/>
          </w:tcPr>
          <w:p>
            <w:r>
              <w:rPr>
                <w:rFonts w:ascii="Calibri" w:hAnsi="Calibri"/>
                <w:sz w:val="22"/>
              </w:rPr>
              <w:t>Q3 2025</w:t>
            </w:r>
          </w:p>
        </w:tc>
        <w:tc>
          <w:tcPr>
            <w:tcW w:type="dxa" w:w="1728"/>
          </w:tcPr>
          <w:p>
            <w:r>
              <w:rPr>
                <w:rFonts w:ascii="Calibri" w:hAnsi="Calibri"/>
                <w:sz w:val="22"/>
              </w:rPr>
              <w:t>$4.527</w:t>
            </w:r>
          </w:p>
        </w:tc>
        <w:tc>
          <w:tcPr>
            <w:tcW w:type="dxa" w:w="1728"/>
          </w:tcPr>
          <w:p>
            <w:r>
              <w:rPr>
                <w:rFonts w:ascii="Calibri" w:hAnsi="Calibri"/>
                <w:sz w:val="22"/>
              </w:rPr>
              <w:t>$4.309</w:t>
            </w:r>
          </w:p>
        </w:tc>
        <w:tc>
          <w:tcPr>
            <w:tcW w:type="dxa" w:w="1728"/>
          </w:tcPr>
          <w:p>
            <w:r>
              <w:rPr>
                <w:rFonts w:ascii="Calibri" w:hAnsi="Calibri"/>
                <w:sz w:val="22"/>
              </w:rPr>
              <w:t>+5.1%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$4.093</w:t>
            </w:r>
          </w:p>
        </w:tc>
        <w:tc>
          <w:tcPr>
            <w:tcW w:type="dxa" w:w="1728"/>
          </w:tcPr>
          <w:p>
            <w:r>
              <w:rPr>
                <w:rFonts w:ascii="Calibri" w:hAnsi="Calibri"/>
                <w:sz w:val="22"/>
              </w:rPr>
              <w:t>$3.900</w:t>
            </w:r>
          </w:p>
        </w:tc>
        <w:tc>
          <w:tcPr>
            <w:tcW w:type="dxa" w:w="1728"/>
          </w:tcPr>
          <w:p>
            <w:r>
              <w:rPr>
                <w:rFonts w:ascii="Calibri" w:hAnsi="Calibri"/>
                <w:sz w:val="22"/>
              </w:rPr>
              <w:t>+5.0%</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$5.019</w:t>
            </w:r>
          </w:p>
        </w:tc>
        <w:tc>
          <w:tcPr>
            <w:tcW w:type="dxa" w:w="1728"/>
          </w:tcPr>
          <w:p>
            <w:r>
              <w:rPr>
                <w:rFonts w:ascii="Calibri" w:hAnsi="Calibri"/>
                <w:sz w:val="22"/>
              </w:rPr>
              <w:t>$4.471</w:t>
            </w:r>
          </w:p>
        </w:tc>
        <w:tc>
          <w:tcPr>
            <w:tcW w:type="dxa" w:w="1728"/>
          </w:tcPr>
          <w:p>
            <w:r>
              <w:rPr>
                <w:rFonts w:ascii="Calibri" w:hAnsi="Calibri"/>
                <w:sz w:val="22"/>
              </w:rPr>
              <w:t>+12.2%</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D has beaten Operating EPS consensus in all 8 of the last 8 quarters, with an average surprise of +10.3% — a strong and consistent beat pattern. Revenue beats are more mixed (4 beats, 3 misses, 1 in-line over the last 8 quarters), with the Q1 2026 revenue beat of +12.2% being the largest in the series.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is unchanged since the Q1 2026 earnings call — all financial targets were affirmed. The tone has </w:t>
      </w:r>
      <w:r>
        <w:rPr>
          <w:rFonts w:ascii="Calibri" w:hAnsi="Calibri"/>
          <w:b/>
          <w:color w:val="525866"/>
          <w:sz w:val="22"/>
        </w:rPr>
        <w:t>shifted materially more confident</w:t>
      </w:r>
      <w:r>
        <w:rPr>
          <w:rFonts w:ascii="Calibri" w:hAnsi="Calibri"/>
          <w:color w:val="525866"/>
          <w:sz w:val="22"/>
        </w:rPr>
        <w:t xml:space="preserve"> on CVOW execution and data center demand, and the merger with NEE introduces a new overlay: management will likely address deal progress, regulatory filings, and the combined company’s financial framework.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Operating EPS</w:t>
            </w:r>
          </w:p>
        </w:tc>
        <w:tc>
          <w:tcPr>
            <w:tcW w:type="dxa" w:w="1728"/>
          </w:tcPr>
          <w:p>
            <w:r>
              <w:rPr>
                <w:rFonts w:ascii="Calibri" w:hAnsi="Calibri"/>
                <w:sz w:val="22"/>
              </w:rPr>
              <w:t>$3.40–$3.60 (midpoint $3.50)</w:t>
            </w:r>
          </w:p>
        </w:tc>
        <w:tc>
          <w:tcPr>
            <w:tcW w:type="dxa" w:w="1728"/>
          </w:tcPr>
          <w:p>
            <w:r>
              <w:rPr>
                <w:rFonts w:ascii="Calibri" w:hAnsi="Calibri"/>
                <w:sz w:val="22"/>
              </w:rPr>
              <w:t>Unchanged</w:t>
            </w:r>
          </w:p>
        </w:tc>
        <w:tc>
          <w:tcPr>
            <w:tcW w:type="dxa" w:w="1728"/>
          </w:tcPr>
          <w:p>
            <w:r>
              <w:rPr>
                <w:rFonts w:ascii="Calibri" w:hAnsi="Calibri"/>
                <w:sz w:val="22"/>
              </w:rPr>
              <w:t>$3.562</w:t>
            </w:r>
          </w:p>
        </w:tc>
        <w:tc>
          <w:tcPr>
            <w:tcW w:type="dxa" w:w="1728"/>
          </w:tcPr>
          <w:p>
            <w:r>
              <w:rPr>
                <w:rFonts w:ascii="Calibri" w:hAnsi="Calibri"/>
                <w:sz w:val="22"/>
              </w:rPr>
              <w:t>Affirmed on Q1 call; consensus sits $0.062 above midpoint (+1.8%)</w:t>
            </w:r>
          </w:p>
        </w:tc>
      </w:tr>
      <w:tr>
        <w:tc>
          <w:tcPr>
            <w:tcW w:type="dxa" w:w="1728"/>
          </w:tcPr>
          <w:p>
            <w:r>
              <w:rPr>
                <w:rFonts w:ascii="Calibri" w:hAnsi="Calibri"/>
                <w:sz w:val="22"/>
              </w:rPr>
              <w:t>Long-Term EPS Growth Rate</w:t>
            </w:r>
          </w:p>
        </w:tc>
        <w:tc>
          <w:tcPr>
            <w:tcW w:type="dxa" w:w="1728"/>
          </w:tcPr>
          <w:p>
            <w:r>
              <w:rPr>
                <w:rFonts w:ascii="Calibri" w:hAnsi="Calibri"/>
                <w:sz w:val="22"/>
              </w:rPr>
              <w:t>5%–7% CAGR off 2025 base; bias toward upper half starting 2028</w:t>
            </w:r>
          </w:p>
        </w:tc>
        <w:tc>
          <w:tcPr>
            <w:tcW w:type="dxa" w:w="1728"/>
          </w:tcPr>
          <w:p>
            <w:r>
              <w:rPr>
                <w:rFonts w:ascii="Calibri" w:hAnsi="Calibri"/>
                <w:sz w:val="22"/>
              </w:rPr>
              <w:t>Unchanged</w:t>
            </w:r>
          </w:p>
        </w:tc>
        <w:tc>
          <w:tcPr>
            <w:tcW w:type="dxa" w:w="1728"/>
          </w:tcPr>
          <w:p>
            <w:r>
              <w:rPr>
                <w:rFonts w:ascii="Calibri" w:hAnsi="Calibri"/>
                <w:sz w:val="22"/>
              </w:rPr>
              <w:t>FY 2027 cons. $3.821 implies ~7.3% growth</w:t>
            </w:r>
          </w:p>
        </w:tc>
        <w:tc>
          <w:tcPr>
            <w:tcW w:type="dxa" w:w="1728"/>
          </w:tcPr>
          <w:p>
            <w:r>
              <w:rPr>
                <w:rFonts w:ascii="Calibri" w:hAnsi="Calibri"/>
                <w:sz w:val="22"/>
              </w:rPr>
              <w:t>Affirmed on Q1 call; management monitoring catalysts (battery storage, Millstone) that could enhance/extend growth rate</w:t>
            </w:r>
          </w:p>
        </w:tc>
      </w:tr>
      <w:tr>
        <w:tc>
          <w:tcPr>
            <w:tcW w:type="dxa" w:w="1728"/>
          </w:tcPr>
          <w:p>
            <w:r>
              <w:rPr>
                <w:rFonts w:ascii="Calibri" w:hAnsi="Calibri"/>
                <w:sz w:val="22"/>
              </w:rPr>
              <w:t>FFO / Total Debt</w:t>
            </w:r>
          </w:p>
        </w:tc>
        <w:tc>
          <w:tcPr>
            <w:tcW w:type="dxa" w:w="1728"/>
          </w:tcPr>
          <w:p>
            <w:r>
              <w:rPr>
                <w:rFonts w:ascii="Calibri" w:hAnsi="Calibri"/>
                <w:sz w:val="22"/>
              </w:rPr>
              <w:t>&gt;15% target (FY 2025 and Q1 LTM both above 15%)</w:t>
            </w:r>
          </w:p>
        </w:tc>
        <w:tc>
          <w:tcPr>
            <w:tcW w:type="dxa" w:w="1728"/>
          </w:tcPr>
          <w:p>
            <w:r>
              <w:rPr>
                <w:rFonts w:ascii="Calibri" w:hAnsi="Calibri"/>
                <w:sz w:val="22"/>
              </w:rPr>
              <w:t>Unchanged</w:t>
            </w:r>
          </w:p>
        </w:tc>
        <w:tc>
          <w:tcPr>
            <w:tcW w:type="dxa" w:w="1728"/>
          </w:tcPr>
          <w:p>
            <w:r>
              <w:rPr>
                <w:rFonts w:ascii="Calibri" w:hAnsi="Calibri"/>
                <w:sz w:val="22"/>
              </w:rPr>
              <w:t>FY 2026 cons. 12.7% (VA methodology differs from Moody’s basis used by mgmt.)</w:t>
            </w:r>
          </w:p>
        </w:tc>
        <w:tc>
          <w:tcPr>
            <w:tcW w:type="dxa" w:w="1728"/>
          </w:tcPr>
          <w:p>
            <w:r>
              <w:rPr>
                <w:rFonts w:ascii="Calibri" w:hAnsi="Calibri"/>
                <w:sz w:val="22"/>
              </w:rPr>
              <w:t>No change to credit targets; management confirmed &gt;15% on Moody’s basis for FY 2025 and Q1 LTM</w:t>
            </w:r>
          </w:p>
        </w:tc>
      </w:tr>
      <w:tr>
        <w:tc>
          <w:tcPr>
            <w:tcW w:type="dxa" w:w="1728"/>
          </w:tcPr>
          <w:p>
            <w:r>
              <w:rPr>
                <w:rFonts w:ascii="Calibri" w:hAnsi="Calibri"/>
                <w:sz w:val="22"/>
              </w:rPr>
              <w:t>CVOW Project Budget</w:t>
            </w:r>
          </w:p>
        </w:tc>
        <w:tc>
          <w:tcPr>
            <w:tcW w:type="dxa" w:w="1728"/>
          </w:tcPr>
          <w:p>
            <w:r>
              <w:rPr>
                <w:rFonts w:ascii="Calibri" w:hAnsi="Calibri"/>
                <w:sz w:val="22"/>
              </w:rPr>
              <w:t>$11.4B (reduced ~$100M from prior update); completion majority by end-2026, remainder by June 2027</w:t>
            </w:r>
          </w:p>
        </w:tc>
        <w:tc>
          <w:tcPr>
            <w:tcW w:type="dxa" w:w="1728"/>
          </w:tcPr>
          <w:p>
            <w:r>
              <w:rPr>
                <w:rFonts w:ascii="Calibri" w:hAnsi="Calibri"/>
                <w:sz w:val="22"/>
              </w:rPr>
              <w:t>Unchanged</w:t>
            </w:r>
          </w:p>
        </w:tc>
        <w:tc>
          <w:tcPr>
            <w:tcW w:type="dxa" w:w="1728"/>
          </w:tcPr>
          <w:p>
            <w:r>
              <w:rPr>
                <w:rFonts w:ascii="Calibri" w:hAnsi="Calibri"/>
                <w:sz w:val="22"/>
              </w:rPr>
              <w:t>N/A — not a consensus-tracked KPI</w:t>
            </w:r>
          </w:p>
        </w:tc>
        <w:tc>
          <w:tcPr>
            <w:tcW w:type="dxa" w:w="1728"/>
          </w:tcPr>
          <w:p>
            <w:r>
              <w:rPr>
                <w:rFonts w:ascii="Calibri" w:hAnsi="Calibri"/>
                <w:sz w:val="22"/>
              </w:rPr>
              <w:t>Tariff exposure (~$200M) and PJM transmission reallocation expected to roughly offset; unused contingency $123M</w:t>
            </w:r>
          </w:p>
        </w:tc>
      </w:tr>
      <w:tr>
        <w:tc>
          <w:tcPr>
            <w:tcW w:type="dxa" w:w="1728"/>
          </w:tcPr>
          <w:p>
            <w:r>
              <w:rPr>
                <w:rFonts w:ascii="Calibri" w:hAnsi="Calibri"/>
                <w:sz w:val="22"/>
              </w:rPr>
              <w:t>Common Equity ATM Issuance</w:t>
            </w:r>
          </w:p>
        </w:tc>
        <w:tc>
          <w:tcPr>
            <w:tcW w:type="dxa" w:w="1728"/>
          </w:tcPr>
          <w:p>
            <w:r>
              <w:rPr>
                <w:rFonts w:ascii="Calibri" w:hAnsi="Calibri"/>
                <w:sz w:val="22"/>
              </w:rPr>
              <w:t>$400M–$600M remaining for rest of 2026 (after $1.2B issued YTD through Q1)</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Consistent with Q4 2025 call guidance; merger agreement may affect ATM activity going forward</w:t>
            </w:r>
          </w:p>
        </w:tc>
      </w:tr>
      <w:tr>
        <w:tc>
          <w:tcPr>
            <w:tcW w:type="dxa" w:w="1728"/>
          </w:tcPr>
          <w:p>
            <w:r>
              <w:rPr>
                <w:rFonts w:ascii="Calibri" w:hAnsi="Calibri"/>
                <w:sz w:val="22"/>
              </w:rPr>
              <w:t>Dividend</w:t>
            </w:r>
          </w:p>
        </w:tc>
        <w:tc>
          <w:tcPr>
            <w:tcW w:type="dxa" w:w="1728"/>
          </w:tcPr>
          <w:p>
            <w:r>
              <w:rPr>
                <w:rFonts w:ascii="Calibri" w:hAnsi="Calibri"/>
                <w:sz w:val="22"/>
              </w:rPr>
              <w:t>Current quarterly dividend maintained through merger closing; NEE’s 6%/yr growth policy applies post-close</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Merger agreement (May 18, 2026) specifies D shareholders continue receiving current dividend through closing</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2026 print — FY 2026 consensus has barely moved (+0.7% from the post-print baseline), and Q2 2026 estimates have drifted slightly lower. </w:t>
      </w:r>
      <w:r>
        <w:rPr>
          <w:rFonts w:ascii="Calibri" w:hAnsi="Calibri"/>
          <w:b/>
          <w:color w:val="525866"/>
          <w:sz w:val="22"/>
        </w:rPr>
        <w:t>Estimates are tracking guidance tightly</w:t>
      </w:r>
      <w:r>
        <w:rPr>
          <w:rFonts w:ascii="Calibri" w:hAnsi="Calibri"/>
          <w:color w:val="525866"/>
          <w:sz w:val="22"/>
        </w:rPr>
        <w:t>, with no meaningful divergence, suggesting the street is comfortable with the current financial framework. The merger announcement has not materially altered standalone EPS estimates.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(5/6/2026 — Post-Q1 Baseline)</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$0.800</w:t>
            </w:r>
          </w:p>
        </w:tc>
        <w:tc>
          <w:tcPr>
            <w:tcW w:type="dxa" w:w="1080"/>
          </w:tcPr>
          <w:p>
            <w:r>
              <w:rPr>
                <w:rFonts w:ascii="Calibri" w:hAnsi="Calibri"/>
                <w:sz w:val="22"/>
              </w:rPr>
              <w:t>$0.664</w:t>
            </w:r>
          </w:p>
        </w:tc>
        <w:tc>
          <w:tcPr>
            <w:tcW w:type="dxa" w:w="1080"/>
          </w:tcPr>
          <w:p>
            <w:r>
              <w:rPr>
                <w:rFonts w:ascii="Calibri" w:hAnsi="Calibri"/>
                <w:b/>
                <w:color w:val="E5484D"/>
                <w:sz w:val="22"/>
              </w:rPr>
              <w:t>−17.0%</w:t>
            </w:r>
          </w:p>
        </w:tc>
        <w:tc>
          <w:tcPr>
            <w:tcW w:type="dxa" w:w="1080"/>
          </w:tcPr>
          <w:p>
            <w:r>
              <w:rPr>
                <w:rFonts w:ascii="Calibri" w:hAnsi="Calibri"/>
                <w:sz w:val="22"/>
              </w:rPr>
              <w:t>No quarterly guidance provided</w:t>
            </w:r>
          </w:p>
        </w:tc>
        <w:tc>
          <w:tcPr>
            <w:tcW w:type="dxa" w:w="1080"/>
          </w:tcPr>
          <w:p>
            <w:r>
              <w:rPr>
                <w:rFonts w:ascii="Calibri" w:hAnsi="Calibri"/>
                <w:sz w:val="22"/>
              </w:rPr>
              <w:t>No quarterly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 2026</w:t>
            </w:r>
          </w:p>
        </w:tc>
        <w:tc>
          <w:tcPr>
            <w:tcW w:type="dxa" w:w="1080"/>
          </w:tcPr>
          <w:p>
            <w:r>
              <w:rPr>
                <w:rFonts w:ascii="Calibri" w:hAnsi="Calibri"/>
                <w:sz w:val="22"/>
              </w:rPr>
              <w:t>$3.586</w:t>
            </w:r>
          </w:p>
        </w:tc>
        <w:tc>
          <w:tcPr>
            <w:tcW w:type="dxa" w:w="1080"/>
          </w:tcPr>
          <w:p>
            <w:r>
              <w:rPr>
                <w:rFonts w:ascii="Calibri" w:hAnsi="Calibri"/>
                <w:sz w:val="22"/>
              </w:rPr>
              <w:t>$3.562</w:t>
            </w:r>
          </w:p>
        </w:tc>
        <w:tc>
          <w:tcPr>
            <w:tcW w:type="dxa" w:w="1080"/>
          </w:tcPr>
          <w:p>
            <w:r>
              <w:rPr>
                <w:rFonts w:ascii="Calibri" w:hAnsi="Calibri"/>
                <w:sz w:val="22"/>
              </w:rPr>
              <w:t>−0.7%</w:t>
            </w:r>
          </w:p>
        </w:tc>
        <w:tc>
          <w:tcPr>
            <w:tcW w:type="dxa" w:w="1080"/>
          </w:tcPr>
          <w:p>
            <w:r>
              <w:rPr>
                <w:rFonts w:ascii="Calibri" w:hAnsi="Calibri"/>
                <w:sz w:val="22"/>
              </w:rPr>
              <w:t>$3.40–$3.60 (mid $3.50)</w:t>
            </w:r>
          </w:p>
        </w:tc>
        <w:tc>
          <w:tcPr>
            <w:tcW w:type="dxa" w:w="1080"/>
          </w:tcPr>
          <w:p>
            <w:r>
              <w:rPr>
                <w:rFonts w:ascii="Calibri" w:hAnsi="Calibri"/>
                <w:sz w:val="22"/>
              </w:rPr>
              <w:t>$3.40–$3.60 (mid $3.50) — Unchanged</w:t>
            </w:r>
          </w:p>
        </w:tc>
        <w:tc>
          <w:tcPr>
            <w:tcW w:type="dxa" w:w="1080"/>
          </w:tcPr>
          <w:p>
            <w:r>
              <w:rPr>
                <w:rFonts w:ascii="Calibri" w:hAnsi="Calibri"/>
                <w:sz w:val="22"/>
              </w:rPr>
              <w:t>No change</w:t>
            </w:r>
          </w:p>
        </w:tc>
        <w:tc>
          <w:tcPr>
            <w:tcW w:type="dxa" w:w="1080"/>
          </w:tcPr>
          <w:p>
            <w:r>
              <w:rPr>
                <w:rFonts w:ascii="Calibri" w:hAnsi="Calibri"/>
                <w:sz w:val="22"/>
              </w:rPr>
              <w:t>+1.8% above midpoint</w:t>
            </w:r>
          </w:p>
        </w:tc>
      </w:tr>
      <w:tr>
        <w:tc>
          <w:tcPr>
            <w:tcW w:type="dxa" w:w="1080"/>
          </w:tcPr>
          <w:p>
            <w:r>
              <w:rPr>
                <w:rFonts w:ascii="Calibri" w:hAnsi="Calibri"/>
                <w:sz w:val="22"/>
              </w:rPr>
              <w:t>Operating EPS — FY 2027</w:t>
            </w:r>
          </w:p>
        </w:tc>
        <w:tc>
          <w:tcPr>
            <w:tcW w:type="dxa" w:w="1080"/>
          </w:tcPr>
          <w:p>
            <w:r>
              <w:rPr>
                <w:rFonts w:ascii="Calibri" w:hAnsi="Calibri"/>
                <w:sz w:val="22"/>
              </w:rPr>
              <w:t>$3.777</w:t>
            </w:r>
          </w:p>
        </w:tc>
        <w:tc>
          <w:tcPr>
            <w:tcW w:type="dxa" w:w="1080"/>
          </w:tcPr>
          <w:p>
            <w:r>
              <w:rPr>
                <w:rFonts w:ascii="Calibri" w:hAnsi="Calibri"/>
                <w:sz w:val="22"/>
              </w:rPr>
              <w:t>$3.821</w:t>
            </w:r>
          </w:p>
        </w:tc>
        <w:tc>
          <w:tcPr>
            <w:tcW w:type="dxa" w:w="1080"/>
          </w:tcPr>
          <w:p>
            <w:r>
              <w:rPr>
                <w:rFonts w:ascii="Calibri" w:hAnsi="Calibri"/>
                <w:b/>
                <w:color w:val="30A46C"/>
                <w:sz w:val="22"/>
              </w:rPr>
              <w:t>+1.2%</w:t>
            </w:r>
          </w:p>
        </w:tc>
        <w:tc>
          <w:tcPr>
            <w:tcW w:type="dxa" w:w="1080"/>
          </w:tcPr>
          <w:p>
            <w:r>
              <w:rPr>
                <w:rFonts w:ascii="Calibri" w:hAnsi="Calibri"/>
                <w:sz w:val="22"/>
              </w:rPr>
              <w:t>5%–7% CAGR off 2025 base</w:t>
            </w:r>
          </w:p>
        </w:tc>
        <w:tc>
          <w:tcPr>
            <w:tcW w:type="dxa" w:w="1080"/>
          </w:tcPr>
          <w:p>
            <w:r>
              <w:rPr>
                <w:rFonts w:ascii="Calibri" w:hAnsi="Calibri"/>
                <w:sz w:val="22"/>
              </w:rPr>
              <w:t>5%–7% CAGR — Unchanged</w:t>
            </w:r>
          </w:p>
        </w:tc>
        <w:tc>
          <w:tcPr>
            <w:tcW w:type="dxa" w:w="1080"/>
          </w:tcPr>
          <w:p>
            <w:r>
              <w:rPr>
                <w:rFonts w:ascii="Calibri" w:hAnsi="Calibri"/>
                <w:sz w:val="22"/>
              </w:rPr>
              <w:t>No change</w:t>
            </w:r>
          </w:p>
        </w:tc>
        <w:tc>
          <w:tcPr>
            <w:tcW w:type="dxa" w:w="1080"/>
          </w:tcPr>
          <w:p>
            <w:r>
              <w:rPr>
                <w:rFonts w:ascii="Calibri" w:hAnsi="Calibri"/>
                <w:sz w:val="22"/>
              </w:rPr>
              <w:t>Implies ~7.3% growth vs. FY 2025 midpoint</w:t>
            </w:r>
          </w:p>
        </w:tc>
      </w:tr>
      <w:tr>
        <w:tc>
          <w:tcPr>
            <w:tcW w:type="dxa" w:w="1080"/>
          </w:tcPr>
          <w:p>
            <w:r>
              <w:rPr>
                <w:rFonts w:ascii="Calibri" w:hAnsi="Calibri"/>
                <w:sz w:val="22"/>
              </w:rPr>
              <w:t>Total Revenue — Q2 2026</w:t>
            </w:r>
          </w:p>
        </w:tc>
        <w:tc>
          <w:tcPr>
            <w:tcW w:type="dxa" w:w="1080"/>
          </w:tcPr>
          <w:p>
            <w:r>
              <w:rPr>
                <w:rFonts w:ascii="Calibri" w:hAnsi="Calibri"/>
                <w:sz w:val="22"/>
              </w:rPr>
              <w:t>$4.117B</w:t>
            </w:r>
          </w:p>
        </w:tc>
        <w:tc>
          <w:tcPr>
            <w:tcW w:type="dxa" w:w="1080"/>
          </w:tcPr>
          <w:p>
            <w:r>
              <w:rPr>
                <w:rFonts w:ascii="Calibri" w:hAnsi="Calibri"/>
                <w:sz w:val="22"/>
              </w:rPr>
              <w:t>$4.093B</w:t>
            </w:r>
          </w:p>
        </w:tc>
        <w:tc>
          <w:tcPr>
            <w:tcW w:type="dxa" w:w="1080"/>
          </w:tcPr>
          <w:p>
            <w:r>
              <w:rPr>
                <w:rFonts w:ascii="Calibri" w:hAnsi="Calibri"/>
                <w:sz w:val="22"/>
              </w:rPr>
              <w:t>−0.6%</w:t>
            </w:r>
          </w:p>
        </w:tc>
        <w:tc>
          <w:tcPr>
            <w:tcW w:type="dxa" w:w="1080"/>
          </w:tcPr>
          <w:p>
            <w:r>
              <w:rPr>
                <w:rFonts w:ascii="Calibri" w:hAnsi="Calibri"/>
                <w:sz w:val="22"/>
              </w:rPr>
              <w:t>N/A —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$18.358B</w:t>
            </w:r>
          </w:p>
        </w:tc>
        <w:tc>
          <w:tcPr>
            <w:tcW w:type="dxa" w:w="1080"/>
          </w:tcPr>
          <w:p>
            <w:r>
              <w:rPr>
                <w:rFonts w:ascii="Calibri" w:hAnsi="Calibri"/>
                <w:sz w:val="22"/>
              </w:rPr>
              <w:t>$18.287B</w:t>
            </w:r>
          </w:p>
        </w:tc>
        <w:tc>
          <w:tcPr>
            <w:tcW w:type="dxa" w:w="1080"/>
          </w:tcPr>
          <w:p>
            <w:r>
              <w:rPr>
                <w:rFonts w:ascii="Calibri" w:hAnsi="Calibri"/>
                <w:sz w:val="22"/>
              </w:rPr>
              <w:t>−0.4%</w:t>
            </w:r>
          </w:p>
        </w:tc>
        <w:tc>
          <w:tcPr>
            <w:tcW w:type="dxa" w:w="1080"/>
          </w:tcPr>
          <w:p>
            <w:r>
              <w:rPr>
                <w:rFonts w:ascii="Calibri" w:hAnsi="Calibri"/>
                <w:sz w:val="22"/>
              </w:rPr>
              <w:t>N/A —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FFO — FY 2026</w:t>
            </w:r>
          </w:p>
        </w:tc>
        <w:tc>
          <w:tcPr>
            <w:tcW w:type="dxa" w:w="1080"/>
          </w:tcPr>
          <w:p>
            <w:r>
              <w:rPr>
                <w:rFonts w:ascii="Calibri" w:hAnsi="Calibri"/>
                <w:sz w:val="22"/>
              </w:rPr>
              <w:t>N/A (not available as of 5/6/26)</w:t>
            </w:r>
          </w:p>
        </w:tc>
        <w:tc>
          <w:tcPr>
            <w:tcW w:type="dxa" w:w="1080"/>
          </w:tcPr>
          <w:p>
            <w:r>
              <w:rPr>
                <w:rFonts w:ascii="Calibri" w:hAnsi="Calibri"/>
                <w:sz w:val="22"/>
              </w:rPr>
              <w:t>$6.628B</w:t>
            </w:r>
          </w:p>
        </w:tc>
        <w:tc>
          <w:tcPr>
            <w:tcW w:type="dxa" w:w="1080"/>
          </w:tcPr>
          <w:p>
            <w:r>
              <w:rPr>
                <w:rFonts w:ascii="Calibri" w:hAnsi="Calibri"/>
                <w:sz w:val="22"/>
              </w:rPr>
              <w:t>N/A</w:t>
            </w:r>
          </w:p>
        </w:tc>
        <w:tc>
          <w:tcPr>
            <w:tcW w:type="dxa" w:w="1080"/>
          </w:tcPr>
          <w:p>
            <w:r>
              <w:rPr>
                <w:rFonts w:ascii="Calibri" w:hAnsi="Calibri"/>
                <w:sz w:val="22"/>
              </w:rPr>
              <w:t>FFO/Debt &gt;15% target</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Source: Visible Alpha Consensus and Actuals Data. Post-Q1 baseline = consensus as of May 6, 2026 (5 trading days after May 1, 2026 Q1 earnings). The Q2 2026 Operating EPS estimate decline of −17% from the post-print baseline reflects seasonal normalization (Q2 is historically the weakest quarter) rather than a fundamental downgrade. FY 2026 and FY 2027 estimates are essentially flat, confirming the street is comfortable with management’s guidance framework.</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D has dramatically outperformed both XLU (−24% relative) and the S&amp;P 500 (−6% relative) since the Q1 2026 earnings date — </w:t>
      </w:r>
      <w:r>
        <w:rPr>
          <w:rFonts w:ascii="Calibri" w:hAnsi="Calibri"/>
          <w:b/>
          <w:color w:val="525866"/>
          <w:sz w:val="22"/>
        </w:rPr>
        <w:t>100% of the outperformance is attributable to the NEE merger announcement on May 18</w:t>
      </w:r>
      <w:r>
        <w:rPr>
          <w:rFonts w:ascii="Calibri" w:hAnsi="Calibri"/>
          <w:color w:val="525866"/>
          <w:sz w:val="22"/>
        </w:rPr>
        <w:t>, not to fundamental estimate revisions or multiple expansion. The stock is now trading as a merger arbitrage instrument.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D vs. XLU vs. S&amp;P 500 — Indexed to 100 at Q1 2026 Earnings Date (May 1, 2026). Source: Yahoo Finance.</w:t>
      </w:r>
    </w:p>
    <w:p>
      <w:r>
        <w:rPr>
          <w:rFonts w:ascii="Calibri" w:hAnsi="Calibri"/>
          <w:color w:val="525866"/>
          <w:sz w:val="22"/>
        </w:rPr>
        <w:t xml:space="preserve">Since the Q1 2026 earnings date (May 1, 2026), D closed at $63.94 and has risen to $69.73 as of July 30, 2026, a gain of approximately </w:t>
      </w:r>
      <w:r>
        <w:rPr>
          <w:rFonts w:ascii="Calibri" w:hAnsi="Calibri"/>
          <w:b/>
          <w:color w:val="525866"/>
          <w:sz w:val="22"/>
        </w:rPr>
        <w:t>+9.1%</w:t>
      </w:r>
      <w:r>
        <w:rPr>
          <w:rFonts w:ascii="Calibri" w:hAnsi="Calibri"/>
          <w:color w:val="525866"/>
          <w:sz w:val="22"/>
        </w:rPr>
        <w:t xml:space="preserve">. Over the same period, XLU declined approximately </w:t>
      </w:r>
      <w:r>
        <w:rPr>
          <w:rFonts w:ascii="Calibri" w:hAnsi="Calibri"/>
          <w:b/>
          <w:color w:val="525866"/>
          <w:sz w:val="22"/>
        </w:rPr>
        <w:t>−4.1%</w:t>
      </w:r>
      <w:r>
        <w:rPr>
          <w:rFonts w:ascii="Calibri" w:hAnsi="Calibri"/>
          <w:color w:val="525866"/>
          <w:sz w:val="22"/>
        </w:rPr>
        <w:t xml:space="preserve"> and the S&amp;P 500 gained approximately </w:t>
      </w:r>
      <w:r>
        <w:rPr>
          <w:rFonts w:ascii="Calibri" w:hAnsi="Calibri"/>
          <w:b/>
          <w:color w:val="525866"/>
          <w:sz w:val="22"/>
        </w:rPr>
        <w:t>+2.9%</w:t>
      </w:r>
      <w:r>
        <w:rPr>
          <w:rFonts w:ascii="Calibri" w:hAnsi="Calibri"/>
          <w:color w:val="525866"/>
          <w:sz w:val="22"/>
        </w:rPr>
        <w:t>. The divergence is almost entirely explained by the May 18 merger announcement, when D surged ~9% in a single session (from $61.73 to $67.56) while XLU was flat. Post-announcement, D has traded in a tight range of $64–$72, consistent with merger arbitrage dynamics (the deal is all-stock at a fixed 0.8138 NEE share ratio, so D’s price tracks NEE with a spread). The sector ETF used is XLU (Utilities Select Sector SPDR), which is the standard benchmark for regulated electric utilities. Source: Yahoo Finance.</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dominant development since Q1 earnings is the </w:t>
      </w:r>
      <w:r>
        <w:rPr>
          <w:rFonts w:ascii="Calibri" w:hAnsi="Calibri"/>
          <w:b/>
          <w:color w:val="525866"/>
          <w:sz w:val="22"/>
        </w:rPr>
        <w:t>all-stock merger agreement with NextEra Energy (May 18, 2026)</w:t>
      </w:r>
      <w:r>
        <w:rPr>
          <w:rFonts w:ascii="Calibri" w:hAnsi="Calibri"/>
          <w:color w:val="525866"/>
          <w:sz w:val="22"/>
        </w:rPr>
        <w:t>, which fundamentally reframes D’s investment thesis from a standalone regulated utility to a merger arbitrage situation. Secondary developments — CVOW progress, rate cases, and capital markets activity — remain important for the Q2 print but are overshadowed by the deal.</w:t>
      </w:r>
    </w:p>
    <w:p>
      <w:pPr>
        <w:pStyle w:val="ListBullet"/>
        <w:ind w:left="360" w:hanging="360"/>
      </w:pPr>
      <w:r>
        <w:rPr>
          <w:rFonts w:ascii="Calibri" w:hAnsi="Calibri"/>
          <w:b/>
          <w:color w:val="525866"/>
          <w:sz w:val="22"/>
        </w:rPr>
        <w:t xml:space="preserve">May 18, 2026 — </w:t>
      </w:r>
      <w:r>
        <w:rPr>
          <w:rFonts w:ascii="Calibri" w:hAnsi="Calibri"/>
          <w:b/>
          <w:color w:val="525866"/>
          <w:sz w:val="22"/>
        </w:rPr>
        <w:t>NextEra Energy announces all-stock acquisition of Dominion Energy.</w:t>
      </w:r>
      <w:r>
        <w:rPr>
          <w:rFonts w:ascii="Calibri" w:hAnsi="Calibri"/>
          <w:color w:val="525866"/>
          <w:sz w:val="22"/>
        </w:rPr>
        <w:t xml:space="preserve"> D shareholders receive 0.8138 NEE shares per D share plus a one-time $360M taxable cash payment at closing. NEE shareholders own ~74.5% of combined entity. Deal expected to close in 12–18 months (H2 2027). Combined company targets 9%+ adjusted EPS CAGR through 2032/2035 and $2.25B in bill credits for D customers. Transaction unanimously approved by both boards. </w:t>
      </w:r>
      <w:r>
        <w:rPr>
          <w:rFonts w:ascii="Calibri" w:hAnsi="Calibri"/>
          <w:b/>
          <w:color w:val="525866"/>
          <w:sz w:val="22"/>
        </w:rPr>
        <w:t xml:space="preserve">Implication: </w:t>
      </w:r>
      <w:r>
        <w:rPr>
          <w:rFonts w:ascii="Calibri" w:hAnsi="Calibri"/>
          <w:color w:val="525866"/>
          <w:sz w:val="22"/>
        </w:rPr>
        <w:t>D is now a merger arb play; standalone fundamentals matter less than deal approval risk.</w:t>
      </w:r>
    </w:p>
    <w:p>
      <w:pPr>
        <w:pStyle w:val="ListBullet"/>
        <w:ind w:left="360" w:hanging="360"/>
      </w:pPr>
      <w:r>
        <w:rPr>
          <w:rFonts w:ascii="Calibri" w:hAnsi="Calibri"/>
          <w:b/>
          <w:color w:val="525866"/>
          <w:sz w:val="22"/>
        </w:rPr>
        <w:t xml:space="preserve">July 15, 2026 — </w:t>
      </w:r>
      <w:r>
        <w:rPr>
          <w:rFonts w:ascii="Calibri" w:hAnsi="Calibri"/>
          <w:b/>
          <w:color w:val="525866"/>
          <w:sz w:val="22"/>
        </w:rPr>
        <w:t>NEE files for merger approval with Virginia SCC, North Carolina Utilities Commission, and South Carolina PSC.</w:t>
      </w:r>
      <w:r>
        <w:rPr>
          <w:rFonts w:ascii="Calibri" w:hAnsi="Calibri"/>
          <w:color w:val="525866"/>
          <w:sz w:val="22"/>
        </w:rPr>
        <w:t xml:space="preserve"> Virginia’s statutory 6-month review process has been initiated. FERC and NRC filings also in process. </w:t>
      </w:r>
      <w:r>
        <w:rPr>
          <w:rFonts w:ascii="Calibri" w:hAnsi="Calibri"/>
          <w:b/>
          <w:color w:val="525866"/>
          <w:sz w:val="22"/>
        </w:rPr>
        <w:t xml:space="preserve">Implication: </w:t>
      </w:r>
      <w:r>
        <w:rPr>
          <w:rFonts w:ascii="Calibri" w:hAnsi="Calibri"/>
          <w:color w:val="525866"/>
          <w:sz w:val="22"/>
        </w:rPr>
        <w:t>Regulatory timeline is now the critical path; Virginia SCC is the most consequential approval given D’s largest rate base is in Virginia.</w:t>
      </w:r>
    </w:p>
    <w:p>
      <w:pPr>
        <w:pStyle w:val="ListBullet"/>
        <w:ind w:left="360" w:hanging="360"/>
      </w:pPr>
      <w:r>
        <w:rPr>
          <w:rFonts w:ascii="Calibri" w:hAnsi="Calibri"/>
          <w:b/>
          <w:color w:val="525866"/>
          <w:sz w:val="22"/>
        </w:rPr>
        <w:t xml:space="preserve">June 16, 2026 — </w:t>
      </w:r>
      <w:r>
        <w:rPr>
          <w:rFonts w:ascii="Calibri" w:hAnsi="Calibri"/>
          <w:b/>
          <w:color w:val="525866"/>
          <w:sz w:val="22"/>
        </w:rPr>
        <w:t>Dominion Energy sells $1.5B in Junior Subordinated Notes (30-year maturity; $1.0B Series A + $0.5B Series B).</w:t>
      </w:r>
      <w:r>
        <w:rPr>
          <w:rFonts w:ascii="Calibri" w:hAnsi="Calibri"/>
          <w:color w:val="525866"/>
          <w:sz w:val="22"/>
        </w:rPr>
        <w:t xml:space="preserve"> Underwritten by Morgan Stanley, RBC, US Bancorp, and Wells Fargo. </w:t>
      </w:r>
      <w:r>
        <w:rPr>
          <w:rFonts w:ascii="Calibri" w:hAnsi="Calibri"/>
          <w:b/>
          <w:color w:val="525866"/>
          <w:sz w:val="22"/>
        </w:rPr>
        <w:t xml:space="preserve">Implication: </w:t>
      </w:r>
      <w:r>
        <w:rPr>
          <w:rFonts w:ascii="Calibri" w:hAnsi="Calibri"/>
          <w:color w:val="525866"/>
          <w:sz w:val="22"/>
        </w:rPr>
        <w:t>Pre-merger capital markets activity; hybrid debt issuance supports credit metrics and is consistent with the financing plan.</w:t>
      </w:r>
    </w:p>
    <w:p>
      <w:pPr>
        <w:pStyle w:val="ListBullet"/>
        <w:ind w:left="360" w:hanging="360"/>
      </w:pPr>
      <w:r>
        <w:rPr>
          <w:rFonts w:ascii="Calibri" w:hAnsi="Calibri"/>
          <w:b/>
          <w:color w:val="525866"/>
          <w:sz w:val="22"/>
        </w:rPr>
        <w:t xml:space="preserve">May 1, 2026 — </w:t>
      </w:r>
      <w:r>
        <w:rPr>
          <w:rFonts w:ascii="Calibri" w:hAnsi="Calibri"/>
          <w:b/>
          <w:color w:val="525866"/>
          <w:sz w:val="22"/>
        </w:rPr>
        <w:t>Q1 2026 earnings: Operating EPS $0.95 (beat consensus of $0.903). CVOW &gt;75% complete, first power delivered March 2026.</w:t>
      </w:r>
      <w:r>
        <w:rPr>
          <w:rFonts w:ascii="Calibri" w:hAnsi="Calibri"/>
          <w:color w:val="525866"/>
          <w:sz w:val="22"/>
        </w:rPr>
        <w:t xml:space="preserve"> Data center contracted capacity surpassed 50 GW. All guidance affirmed. CVOW budget reduced to $11.4B (~$100M lower). </w:t>
      </w:r>
      <w:r>
        <w:rPr>
          <w:rFonts w:ascii="Calibri" w:hAnsi="Calibri"/>
          <w:b/>
          <w:color w:val="525866"/>
          <w:sz w:val="22"/>
        </w:rPr>
        <w:t xml:space="preserve">Implication: </w:t>
      </w:r>
      <w:r>
        <w:rPr>
          <w:rFonts w:ascii="Calibri" w:hAnsi="Calibri"/>
          <w:color w:val="525866"/>
          <w:sz w:val="22"/>
        </w:rPr>
        <w:t>Strong operational execution heading into Q2; CVOW de-risked materially.</w:t>
      </w:r>
    </w:p>
    <w:p>
      <w:pPr>
        <w:pStyle w:val="ListBullet"/>
        <w:ind w:left="360" w:hanging="360"/>
      </w:pPr>
      <w:r>
        <w:rPr>
          <w:rFonts w:ascii="Calibri" w:hAnsi="Calibri"/>
          <w:b/>
          <w:color w:val="525866"/>
          <w:sz w:val="22"/>
        </w:rPr>
        <w:t xml:space="preserve">May 7, 2026 — </w:t>
      </w:r>
      <w:r>
        <w:rPr>
          <w:rFonts w:ascii="Calibri" w:hAnsi="Calibri"/>
          <w:b/>
          <w:color w:val="525866"/>
          <w:sz w:val="22"/>
        </w:rPr>
        <w:t>Annual shareholder meeting: Directors elected, executive pay approved, governance proposals rejected.</w:t>
      </w:r>
      <w:r>
        <w:rPr>
          <w:rFonts w:ascii="Calibri" w:hAnsi="Calibri"/>
          <w:color w:val="525866"/>
          <w:sz w:val="22"/>
        </w:rPr>
        <w:t xml:space="preserve"> Routine outcome with no surprises.</w:t>
      </w:r>
    </w:p>
    <w:p>
      <w:pPr>
        <w:pStyle w:val="ListBullet"/>
        <w:ind w:left="360" w:hanging="360"/>
      </w:pPr>
      <w:r>
        <w:rPr>
          <w:rFonts w:ascii="Calibri" w:hAnsi="Calibri"/>
          <w:b/>
          <w:color w:val="525866"/>
          <w:sz w:val="22"/>
        </w:rPr>
        <w:t xml:space="preserve">Q2 2026 (expected) — </w:t>
      </w:r>
      <w:r>
        <w:rPr>
          <w:rFonts w:ascii="Calibri" w:hAnsi="Calibri"/>
          <w:b/>
          <w:color w:val="525866"/>
          <w:sz w:val="22"/>
        </w:rPr>
        <w:t>South Carolina DESC electric rate case decision expected late June; rates effective July 2026.</w:t>
      </w:r>
      <w:r>
        <w:rPr>
          <w:rFonts w:ascii="Calibri" w:hAnsi="Calibri"/>
          <w:color w:val="525866"/>
          <w:sz w:val="22"/>
        </w:rPr>
        <w:t xml:space="preserve"> Hearings were scheduled for mid-May. </w:t>
      </w:r>
      <w:r>
        <w:rPr>
          <w:rFonts w:ascii="Calibri" w:hAnsi="Calibri"/>
          <w:b/>
          <w:color w:val="525866"/>
          <w:sz w:val="22"/>
        </w:rPr>
        <w:t xml:space="preserve">Implication: </w:t>
      </w:r>
      <w:r>
        <w:rPr>
          <w:rFonts w:ascii="Calibri" w:hAnsi="Calibri"/>
          <w:color w:val="525866"/>
          <w:sz w:val="22"/>
        </w:rPr>
        <w:t>Constructive outcome would support earnings visibility in the SC segment.</w:t>
      </w:r>
    </w:p>
    <w:p>
      <w:pPr>
        <w:pStyle w:val="ListBullet"/>
        <w:ind w:left="360" w:hanging="360"/>
      </w:pPr>
      <w:r>
        <w:rPr>
          <w:rFonts w:ascii="Calibri" w:hAnsi="Calibri"/>
          <w:b/>
          <w:color w:val="525866"/>
          <w:sz w:val="22"/>
        </w:rPr>
        <w:t xml:space="preserve">Q2/Q3 2026 — </w:t>
      </w:r>
      <w:r>
        <w:rPr>
          <w:rFonts w:ascii="Calibri" w:hAnsi="Calibri"/>
          <w:b/>
          <w:color w:val="525866"/>
          <w:sz w:val="22"/>
        </w:rPr>
        <w:t>Millstone recontracting: Connecticut DEEP solicitation decisions expected Q2; negotiations with local utilities to begin Q3.</w:t>
      </w:r>
      <w:r>
        <w:rPr>
          <w:rFonts w:ascii="Calibri" w:hAnsi="Calibri"/>
          <w:color w:val="525866"/>
          <w:sz w:val="22"/>
        </w:rPr>
        <w:t xml:space="preserve"> Millstone currently contracted for slightly more than half its output through August 2029. </w:t>
      </w:r>
      <w:r>
        <w:rPr>
          <w:rFonts w:ascii="Calibri" w:hAnsi="Calibri"/>
          <w:b/>
          <w:color w:val="525866"/>
          <w:sz w:val="22"/>
        </w:rPr>
        <w:t xml:space="preserve">Implication: </w:t>
      </w:r>
      <w:r>
        <w:rPr>
          <w:rFonts w:ascii="Calibri" w:hAnsi="Calibri"/>
          <w:color w:val="525866"/>
          <w:sz w:val="22"/>
        </w:rPr>
        <w:t>Recontracting outcome is a potential catalyst to enhance/extend the long-term growth rate; management flagged this explicitly on the Q1 call.</w:t>
      </w:r>
    </w:p>
    <w:p>
      <w:pPr>
        <w:pStyle w:val="ListBullet"/>
        <w:ind w:left="360" w:hanging="360"/>
      </w:pPr>
      <w:r>
        <w:rPr>
          <w:rFonts w:ascii="Calibri" w:hAnsi="Calibri"/>
          <w:b/>
          <w:color w:val="525866"/>
          <w:sz w:val="22"/>
        </w:rPr>
        <w:t xml:space="preserve">April 30, 2026 — </w:t>
      </w:r>
      <w:r>
        <w:rPr>
          <w:rFonts w:ascii="Calibri" w:hAnsi="Calibri"/>
          <w:b/>
          <w:color w:val="525866"/>
          <w:sz w:val="22"/>
        </w:rPr>
        <w:t>Dominion Energy North Carolina (DENC) files electric rate case to support ~$400M in investment.</w:t>
      </w:r>
      <w:r>
        <w:rPr>
          <w:rFonts w:ascii="Calibri" w:hAnsi="Calibri"/>
          <w:color w:val="525866"/>
          <w:sz w:val="22"/>
        </w:rPr>
        <w:t xml:space="preserve"> Decision expected February 2027; interim rates effective December 2026. </w:t>
      </w:r>
      <w:r>
        <w:rPr>
          <w:rFonts w:ascii="Calibri" w:hAnsi="Calibri"/>
          <w:b/>
          <w:color w:val="525866"/>
          <w:sz w:val="22"/>
        </w:rPr>
        <w:t xml:space="preserve">Implication: </w:t>
      </w:r>
      <w:r>
        <w:rPr>
          <w:rFonts w:ascii="Calibri" w:hAnsi="Calibri"/>
          <w:color w:val="525866"/>
          <w:sz w:val="22"/>
        </w:rPr>
        <w:t>Routine regulatory cadence; constructive outcome expected given investment is in service.</w:t>
      </w:r>
    </w:p>
    <w:p>
      <w:pPr>
        <w:pStyle w:val="ListBullet"/>
        <w:ind w:left="360" w:hanging="360"/>
      </w:pPr>
      <w:r>
        <w:rPr>
          <w:rFonts w:ascii="Calibri" w:hAnsi="Calibri"/>
          <w:b/>
          <w:color w:val="525866"/>
          <w:sz w:val="22"/>
        </w:rPr>
        <w:t xml:space="preserve">Ongoing — </w:t>
      </w:r>
      <w:r>
        <w:rPr>
          <w:rFonts w:ascii="Calibri" w:hAnsi="Calibri"/>
          <w:b/>
          <w:color w:val="525866"/>
          <w:sz w:val="22"/>
        </w:rPr>
        <w:t>Virginia battery storage legislation (HB 895/SB 448) signed into law: requires petition for 20 GW of storage by 2045 (up from 3 GW by 2035).</w:t>
      </w:r>
      <w:r>
        <w:rPr>
          <w:rFonts w:ascii="Calibri" w:hAnsi="Calibri"/>
          <w:color w:val="525866"/>
          <w:sz w:val="22"/>
        </w:rPr>
        <w:t xml:space="preserve"> Management estimates $2.5B–$3.0B per GW installed. Capital plan update expected Q4 2026. </w:t>
      </w:r>
      <w:r>
        <w:rPr>
          <w:rFonts w:ascii="Calibri" w:hAnsi="Calibri"/>
          <w:b/>
          <w:color w:val="525866"/>
          <w:sz w:val="22"/>
        </w:rPr>
        <w:t xml:space="preserve">Implication: </w:t>
      </w:r>
      <w:r>
        <w:rPr>
          <w:rFonts w:ascii="Calibri" w:hAnsi="Calibri"/>
          <w:color w:val="525866"/>
          <w:sz w:val="22"/>
        </w:rPr>
        <w:t>Significant incremental capital deployment opportunity beyond the current $65B 5-year plan; could enhance long-term growth rate.</w:t>
      </w:r>
    </w:p>
    <w:p>
      <w:pPr>
        <w:pStyle w:val="ListBullet"/>
        <w:ind w:left="360" w:hanging="360"/>
      </w:pPr>
      <w:r>
        <w:rPr>
          <w:rFonts w:ascii="Calibri" w:hAnsi="Calibri"/>
          <w:b/>
          <w:color w:val="525866"/>
          <w:sz w:val="22"/>
        </w:rPr>
        <w:t xml:space="preserve">July 29, 2026 — </w:t>
      </w:r>
      <w:r>
        <w:rPr>
          <w:rFonts w:ascii="Calibri" w:hAnsi="Calibri"/>
          <w:b/>
          <w:color w:val="525866"/>
          <w:sz w:val="22"/>
        </w:rPr>
        <w:t>Shareholder alert: M&amp;A class action firm investigating the NEE/D merger.</w:t>
      </w:r>
      <w:r>
        <w:rPr>
          <w:rFonts w:ascii="Calibri" w:hAnsi="Calibri"/>
          <w:color w:val="525866"/>
          <w:sz w:val="22"/>
        </w:rPr>
        <w:t xml:space="preserve"> Standard litigation activity following large M&amp;A announcements; not expected to be material to deal completion.</w:t>
      </w:r>
    </w:p>
    <w:p>
      <w:r>
        <w:br w:type="page"/>
      </w:r>
    </w:p>
    <w:p>
      <w:pPr>
        <w:pStyle w:val="Heading1"/>
        <w:pBdr>
          <w:bottom w:val="single" w:sz="4" w:space="1" w:color="FB9120"/>
        </w:pBdr>
      </w:pPr>
      <w:r>
        <w:rPr>
          <w:rFonts w:ascii="Calibri" w:hAnsi="Calibri"/>
          <w:b/>
          <w:color w:val="3B4259"/>
          <w:sz w:val="40"/>
        </w:rPr>
        <w:t>7. Peer Commentaries — Q2 2026 Read-Through</w:t>
      </w:r>
    </w:p>
    <w:p>
      <w:r>
        <w:rPr>
          <w:rFonts w:ascii="Calibri" w:hAnsi="Calibri"/>
          <w:b/>
          <w:color w:val="525866"/>
          <w:sz w:val="22"/>
        </w:rPr>
        <w:t xml:space="preserve">Key Takeaway: </w:t>
      </w:r>
      <w:r>
        <w:rPr>
          <w:rFonts w:ascii="Calibri" w:hAnsi="Calibri"/>
          <w:color w:val="525866"/>
          <w:sz w:val="22"/>
        </w:rPr>
        <w:t xml:space="preserve">Peer Q2 2026 earnings calls (reported July 23–30, 2026) and the NEE/D merger call (May 18) provide a uniformly </w:t>
      </w:r>
      <w:r>
        <w:rPr>
          <w:rFonts w:ascii="Calibri" w:hAnsi="Calibri"/>
          <w:b/>
          <w:color w:val="525866"/>
          <w:sz w:val="22"/>
        </w:rPr>
        <w:t>bullish read-through on data center demand, regulated capital deployment, and constructive regulatory outcomes</w:t>
      </w:r>
      <w:r>
        <w:rPr>
          <w:rFonts w:ascii="Calibri" w:hAnsi="Calibri"/>
          <w:color w:val="525866"/>
          <w:sz w:val="22"/>
        </w:rPr>
        <w:t xml:space="preserve"> — all directly relevant to D’s Q2 print and long-term thesis. The PJM capacity market stress flagged by Exelon is a notable wildcard for D’s Virginia load-serving obligations.</w:t>
      </w:r>
    </w:p>
    <w:p>
      <w:r>
        <w:rPr>
          <w:rFonts w:ascii="Calibri" w:hAnsi="Calibri"/>
          <w:b/>
          <w:color w:val="525866"/>
          <w:sz w:val="22"/>
        </w:rPr>
        <w:t xml:space="preserve">Note: </w:t>
      </w:r>
      <w:r>
        <w:rPr>
          <w:rFonts w:ascii="Calibri" w:hAnsi="Calibri"/>
          <w:color w:val="525866"/>
          <w:sz w:val="22"/>
        </w:rPr>
        <w:t>Only commentary from Q2 2026 earnings calls (reporting on the current quarter) and post-Q1 events (merger call, ETR Investor Day) are included below. Q1 2026 peer earnings calls are excluded as they reflect prior-quarter results.</w:t>
      </w:r>
    </w:p>
    <w:p>
      <w:pPr>
        <w:pStyle w:val="Heading2"/>
      </w:pPr>
      <w:r>
        <w:rPr>
          <w:rFonts w:ascii="Calibri" w:hAnsi="Calibri"/>
          <w:b/>
          <w:color w:val="3B4259"/>
          <w:sz w:val="28"/>
        </w:rPr>
        <w:t>NextEra Energy (NEE) — Merger Call (May 18, 2026) &amp; Q2 2026 Earnings (July 24, 2026)</w:t>
      </w:r>
    </w:p>
    <w:p>
      <w:r>
        <w:rPr>
          <w:rFonts w:ascii="Calibri" w:hAnsi="Calibri"/>
          <w:b/>
          <w:color w:val="525866"/>
          <w:sz w:val="22"/>
        </w:rPr>
        <w:t xml:space="preserve">Read-Through Relevance: </w:t>
      </w:r>
      <w:r>
        <w:rPr>
          <w:rFonts w:ascii="Calibri" w:hAnsi="Calibri"/>
          <w:color w:val="525866"/>
          <w:sz w:val="22"/>
        </w:rPr>
        <w:t>Directly relevant — NEE is D’s acquirer and the most important read-through for D’s deal and operational trajectory.</w:t>
      </w:r>
    </w:p>
    <w:p>
      <w:pPr>
        <w:pStyle w:val="ListBullet"/>
        <w:ind w:left="360" w:hanging="360"/>
      </w:pPr>
      <w:r>
        <w:rPr>
          <w:rFonts w:ascii="Calibri" w:hAnsi="Calibri"/>
          <w:b/>
          <w:color w:val="525866"/>
          <w:sz w:val="22"/>
        </w:rPr>
        <w:t xml:space="preserve">Merger Call (May 18): </w:t>
      </w:r>
      <w:r>
        <w:rPr>
          <w:rFonts w:ascii="Calibri" w:hAnsi="Calibri"/>
          <w:color w:val="525866"/>
          <w:sz w:val="22"/>
        </w:rPr>
        <w:t xml:space="preserve">NEE CEO John Ketchum expressed high confidence in CVOW, noting “the Dominion team has just made excellent progress on CVOW. It’s on track, scheduled to go in service middle of next year” and that D had “14 turbines delivering test energy.” NEE confirmed the project budget was reduced from $11.5B to $11.4B. </w:t>
      </w:r>
      <w:r>
        <w:rPr>
          <w:rFonts w:ascii="Calibri" w:hAnsi="Calibri"/>
          <w:b/>
          <w:color w:val="525866"/>
          <w:sz w:val="22"/>
        </w:rPr>
        <w:t xml:space="preserve">Read-through: </w:t>
      </w:r>
      <w:r>
        <w:rPr>
          <w:rFonts w:ascii="Calibri" w:hAnsi="Calibri"/>
          <w:color w:val="525866"/>
          <w:sz w:val="22"/>
        </w:rPr>
        <w:t>External validation of CVOW execution from the acquirer is a strong positive signal heading into Q2.</w:t>
      </w:r>
    </w:p>
    <w:p>
      <w:pPr>
        <w:pStyle w:val="ListBullet"/>
        <w:ind w:left="360" w:hanging="360"/>
      </w:pPr>
      <w:r>
        <w:rPr>
          <w:rFonts w:ascii="Calibri" w:hAnsi="Calibri"/>
          <w:b/>
          <w:color w:val="525866"/>
          <w:sz w:val="22"/>
        </w:rPr>
        <w:t xml:space="preserve">Merger Call (May 18): </w:t>
      </w:r>
      <w:r>
        <w:rPr>
          <w:rFonts w:ascii="Calibri" w:hAnsi="Calibri"/>
          <w:color w:val="525866"/>
          <w:sz w:val="22"/>
        </w:rPr>
        <w:t xml:space="preserve">Combined company targets 9%+ adjusted EPS CAGR through 2032/2035, 11% regulatory capital employed growth, and a rate base of $138B (highest in the industry). NEE sees D’s Virginia data center market as a “massive 130+ GW large load pipeline.” </w:t>
      </w:r>
      <w:r>
        <w:rPr>
          <w:rFonts w:ascii="Calibri" w:hAnsi="Calibri"/>
          <w:b/>
          <w:color w:val="525866"/>
          <w:sz w:val="22"/>
        </w:rPr>
        <w:t xml:space="preserve">Read-through: </w:t>
      </w:r>
      <w:r>
        <w:rPr>
          <w:rFonts w:ascii="Calibri" w:hAnsi="Calibri"/>
          <w:color w:val="525866"/>
          <w:sz w:val="22"/>
        </w:rPr>
        <w:t>Confirms D’s data center demand narrative is credible and valued by the acquirer.</w:t>
      </w:r>
    </w:p>
    <w:p>
      <w:pPr>
        <w:pStyle w:val="ListBullet"/>
        <w:ind w:left="360" w:hanging="360"/>
      </w:pPr>
      <w:r>
        <w:rPr>
          <w:rFonts w:ascii="Calibri" w:hAnsi="Calibri"/>
          <w:b/>
          <w:color w:val="525866"/>
          <w:sz w:val="22"/>
        </w:rPr>
        <w:t xml:space="preserve">Q2 2026 Earnings (July 24): </w:t>
      </w:r>
      <w:r>
        <w:rPr>
          <w:rFonts w:ascii="Calibri" w:hAnsi="Calibri"/>
          <w:color w:val="525866"/>
          <w:sz w:val="22"/>
        </w:rPr>
        <w:t xml:space="preserve">NEE updated FPL large load expectations from 6 GW to 8 GW by 2032; has 21 GW of large load interest at FPL with 12 GW in advanced discussions. NEE filed for merger approval with Virginia SCC, NC, and SC on July 15. Ketchum characterized conversations with state leadership as “going well.” </w:t>
      </w:r>
      <w:r>
        <w:rPr>
          <w:rFonts w:ascii="Calibri" w:hAnsi="Calibri"/>
          <w:b/>
          <w:color w:val="525866"/>
          <w:sz w:val="22"/>
        </w:rPr>
        <w:t xml:space="preserve">Read-through: </w:t>
      </w:r>
      <w:r>
        <w:rPr>
          <w:rFonts w:ascii="Calibri" w:hAnsi="Calibri"/>
          <w:color w:val="525866"/>
          <w:sz w:val="22"/>
        </w:rPr>
        <w:t>Positive regulatory tone and accelerating large load demand are directly supportive of D’s Q2 data center commentary.</w:t>
      </w:r>
    </w:p>
    <w:p>
      <w:pPr>
        <w:pStyle w:val="ListBullet"/>
        <w:ind w:left="360" w:hanging="360"/>
      </w:pPr>
      <w:r>
        <w:rPr>
          <w:rFonts w:ascii="Calibri" w:hAnsi="Calibri"/>
          <w:b/>
          <w:color w:val="525866"/>
          <w:sz w:val="22"/>
        </w:rPr>
        <w:t xml:space="preserve">Q2 2026 Earnings (July 24): </w:t>
      </w:r>
      <w:r>
        <w:rPr>
          <w:rFonts w:ascii="Calibri" w:hAnsi="Calibri"/>
          <w:color w:val="525866"/>
          <w:sz w:val="22"/>
        </w:rPr>
        <w:t xml:space="preserve">NEE expects the combination to close in “the second half of 2027” but is “looking for opportunities to move that up.” Combined company expected to support 11% annual regulatory capital employed growth through 2032. </w:t>
      </w:r>
      <w:r>
        <w:rPr>
          <w:rFonts w:ascii="Calibri" w:hAnsi="Calibri"/>
          <w:b/>
          <w:color w:val="525866"/>
          <w:sz w:val="22"/>
        </w:rPr>
        <w:t xml:space="preserve">Read-through: </w:t>
      </w:r>
      <w:r>
        <w:rPr>
          <w:rFonts w:ascii="Calibri" w:hAnsi="Calibri"/>
          <w:color w:val="525866"/>
          <w:sz w:val="22"/>
        </w:rPr>
        <w:t>Deal timeline confirmation; no negative regulatory signals from the acquirer.</w:t>
      </w:r>
    </w:p>
    <w:p>
      <w:pPr>
        <w:pStyle w:val="Heading2"/>
      </w:pPr>
      <w:r>
        <w:rPr>
          <w:rFonts w:ascii="Calibri" w:hAnsi="Calibri"/>
          <w:b/>
          <w:color w:val="3B4259"/>
          <w:sz w:val="28"/>
        </w:rPr>
        <w:t>Southern Company (SO) — Q2 2026 Earnings (July 30, 2026)</w:t>
      </w:r>
    </w:p>
    <w:p>
      <w:r>
        <w:rPr>
          <w:rFonts w:ascii="Calibri" w:hAnsi="Calibri"/>
          <w:b/>
          <w:color w:val="525866"/>
          <w:sz w:val="22"/>
        </w:rPr>
        <w:t xml:space="preserve">Read-Through Relevance: </w:t>
      </w:r>
      <w:r>
        <w:rPr>
          <w:rFonts w:ascii="Calibri" w:hAnsi="Calibri"/>
          <w:color w:val="525866"/>
          <w:sz w:val="22"/>
        </w:rPr>
        <w:t>High — SO is D’s closest Southeast peer; both serve large data center markets with similar regulatory frameworks.</w:t>
      </w:r>
    </w:p>
    <w:p>
      <w:pPr>
        <w:pStyle w:val="ListBullet"/>
        <w:ind w:left="360" w:hanging="360"/>
      </w:pPr>
      <w:r>
        <w:rPr>
          <w:rFonts w:ascii="Calibri" w:hAnsi="Calibri"/>
          <w:b/>
          <w:color w:val="525866"/>
          <w:sz w:val="22"/>
        </w:rPr>
        <w:t xml:space="preserve">Data Center Demand: </w:t>
      </w:r>
      <w:r>
        <w:rPr>
          <w:rFonts w:ascii="Calibri" w:hAnsi="Calibri"/>
          <w:color w:val="525866"/>
          <w:sz w:val="22"/>
        </w:rPr>
        <w:t xml:space="preserve">SO signed a 3.2 GW, 25-year contract with OpenAI for a new site near Savannah, GA. Total contracted large load agreements now exceed 17 GW by the mid-2030s. Prospective pipeline “well above 75 GW.” Data center usage was </w:t>
      </w:r>
      <w:r>
        <w:rPr>
          <w:rFonts w:ascii="Calibri" w:hAnsi="Calibri"/>
          <w:b/>
          <w:color w:val="525866"/>
          <w:sz w:val="22"/>
        </w:rPr>
        <w:t>55% higher YoY in Q2 2026</w:t>
      </w:r>
      <w:r>
        <w:rPr>
          <w:rFonts w:ascii="Calibri" w:hAnsi="Calibri"/>
          <w:color w:val="525866"/>
          <w:sz w:val="22"/>
        </w:rPr>
        <w:t xml:space="preserve"> and up 49% YTD. </w:t>
      </w:r>
      <w:r>
        <w:rPr>
          <w:rFonts w:ascii="Calibri" w:hAnsi="Calibri"/>
          <w:b/>
          <w:color w:val="525866"/>
          <w:sz w:val="22"/>
        </w:rPr>
        <w:t xml:space="preserve">Read-through: </w:t>
      </w:r>
      <w:r>
        <w:rPr>
          <w:rFonts w:ascii="Calibri" w:hAnsi="Calibri"/>
          <w:color w:val="525866"/>
          <w:sz w:val="22"/>
        </w:rPr>
        <w:t>Extremely bullish for D’s data center demand narrative; SO’s 55% YoY data center usage growth validates D’s “accelerating and durable” characterization.</w:t>
      </w:r>
    </w:p>
    <w:p>
      <w:pPr>
        <w:pStyle w:val="ListBullet"/>
        <w:ind w:left="360" w:hanging="360"/>
      </w:pPr>
      <w:r>
        <w:rPr>
          <w:rFonts w:ascii="Calibri" w:hAnsi="Calibri"/>
          <w:b/>
          <w:color w:val="525866"/>
          <w:sz w:val="22"/>
        </w:rPr>
        <w:t xml:space="preserve">Capital Deployment: </w:t>
      </w:r>
      <w:r>
        <w:rPr>
          <w:rFonts w:ascii="Calibri" w:hAnsi="Calibri"/>
          <w:color w:val="525866"/>
          <w:sz w:val="22"/>
        </w:rPr>
        <w:t xml:space="preserve">SO has secured approvals for 10 GW of new company-owned generation. New generation investments not in the current capital plan; RFPs underway for additional resources. Rule of thumb: “about $2B per GW” for new generating capacity. </w:t>
      </w:r>
      <w:r>
        <w:rPr>
          <w:rFonts w:ascii="Calibri" w:hAnsi="Calibri"/>
          <w:b/>
          <w:color w:val="525866"/>
          <w:sz w:val="22"/>
        </w:rPr>
        <w:t xml:space="preserve">Read-through: </w:t>
      </w:r>
      <w:r>
        <w:rPr>
          <w:rFonts w:ascii="Calibri" w:hAnsi="Calibri"/>
          <w:color w:val="525866"/>
          <w:sz w:val="22"/>
        </w:rPr>
        <w:t>Consistent with D’s $2.5B–$3.0B per GW battery storage estimate; confirms capital intensity of serving large load.</w:t>
      </w:r>
    </w:p>
    <w:p>
      <w:pPr>
        <w:pStyle w:val="ListBullet"/>
        <w:ind w:left="360" w:hanging="360"/>
      </w:pPr>
      <w:r>
        <w:rPr>
          <w:rFonts w:ascii="Calibri" w:hAnsi="Calibri"/>
          <w:b/>
          <w:color w:val="525866"/>
          <w:sz w:val="22"/>
        </w:rPr>
        <w:t xml:space="preserve">Rate Stability: </w:t>
      </w:r>
      <w:r>
        <w:rPr>
          <w:rFonts w:ascii="Calibri" w:hAnsi="Calibri"/>
          <w:color w:val="525866"/>
          <w:sz w:val="22"/>
        </w:rPr>
        <w:t xml:space="preserve">SO stated “electric rates are not going up in our territory” with retail base rates held stable in Georgia and Alabama until 2029. Large customers paying minimum bills with $21B in collateral for 17 GW of contracts. </w:t>
      </w:r>
      <w:r>
        <w:rPr>
          <w:rFonts w:ascii="Calibri" w:hAnsi="Calibri"/>
          <w:b/>
          <w:color w:val="525866"/>
          <w:sz w:val="22"/>
        </w:rPr>
        <w:t xml:space="preserve">Read-through: </w:t>
      </w:r>
      <w:r>
        <w:rPr>
          <w:rFonts w:ascii="Calibri" w:hAnsi="Calibri"/>
          <w:color w:val="525866"/>
          <w:sz w:val="22"/>
        </w:rPr>
        <w:t>Positive for D’s customer affordability narrative; demonstrates that large load growth can be structured to protect existing customers.</w:t>
      </w:r>
    </w:p>
    <w:p>
      <w:pPr>
        <w:pStyle w:val="ListBullet"/>
        <w:ind w:left="360" w:hanging="360"/>
      </w:pPr>
      <w:r>
        <w:rPr>
          <w:rFonts w:ascii="Calibri" w:hAnsi="Calibri"/>
          <w:b/>
          <w:color w:val="525866"/>
          <w:sz w:val="22"/>
        </w:rPr>
        <w:t xml:space="preserve">Weather-Normal Sales: </w:t>
      </w:r>
      <w:r>
        <w:rPr>
          <w:rFonts w:ascii="Calibri" w:hAnsi="Calibri"/>
          <w:color w:val="525866"/>
          <w:sz w:val="22"/>
        </w:rPr>
        <w:t xml:space="preserve">Weather-normal retail electricity sales YTD were 2.3% higher than H1 2025 — “highest retail sales growth through June in nearly two decades.” </w:t>
      </w:r>
      <w:r>
        <w:rPr>
          <w:rFonts w:ascii="Calibri" w:hAnsi="Calibri"/>
          <w:b/>
          <w:color w:val="525866"/>
          <w:sz w:val="22"/>
        </w:rPr>
        <w:t xml:space="preserve">Read-through: </w:t>
      </w:r>
      <w:r>
        <w:rPr>
          <w:rFonts w:ascii="Calibri" w:hAnsi="Calibri"/>
          <w:color w:val="525866"/>
          <w:sz w:val="22"/>
        </w:rPr>
        <w:t>Positive for D’s regulated electric volume growth in Q2.</w:t>
      </w:r>
    </w:p>
    <w:p>
      <w:pPr>
        <w:pStyle w:val="Heading2"/>
      </w:pPr>
      <w:r>
        <w:rPr>
          <w:rFonts w:ascii="Calibri" w:hAnsi="Calibri"/>
          <w:b/>
          <w:color w:val="3B4259"/>
          <w:sz w:val="28"/>
        </w:rPr>
        <w:t>American Electric Power (AEP) — Q2 2026 Earnings (July 30, 2026)</w:t>
      </w:r>
    </w:p>
    <w:p>
      <w:r>
        <w:rPr>
          <w:rFonts w:ascii="Calibri" w:hAnsi="Calibri"/>
          <w:b/>
          <w:color w:val="525866"/>
          <w:sz w:val="22"/>
        </w:rPr>
        <w:t xml:space="preserve">Read-Through Relevance: </w:t>
      </w:r>
      <w:r>
        <w:rPr>
          <w:rFonts w:ascii="Calibri" w:hAnsi="Calibri"/>
          <w:color w:val="525866"/>
          <w:sz w:val="22"/>
        </w:rPr>
        <w:t>Moderate — AEP serves Virginia (Appalachian Power) and has a large data center pipeline; directly comparable on large load tariff structures.</w:t>
      </w:r>
    </w:p>
    <w:p>
      <w:pPr>
        <w:pStyle w:val="ListBullet"/>
        <w:ind w:left="360" w:hanging="360"/>
      </w:pPr>
      <w:r>
        <w:rPr>
          <w:rFonts w:ascii="Calibri" w:hAnsi="Calibri"/>
          <w:b/>
          <w:color w:val="525866"/>
          <w:sz w:val="22"/>
        </w:rPr>
        <w:t xml:space="preserve">Data Center Load: </w:t>
      </w:r>
      <w:r>
        <w:rPr>
          <w:rFonts w:ascii="Calibri" w:hAnsi="Calibri"/>
          <w:color w:val="525866"/>
          <w:sz w:val="22"/>
        </w:rPr>
        <w:t xml:space="preserve">AEP contracted an additional 6 GW of load in Q2 alone, bringing total contracted load additions to 69 GW through 2030 (up from 63 GW last quarter). Texas represents 45 GW; Ohio 12 GW; remaining states (including Virginia) 12 GW. </w:t>
      </w:r>
      <w:r>
        <w:rPr>
          <w:rFonts w:ascii="Calibri" w:hAnsi="Calibri"/>
          <w:b/>
          <w:color w:val="525866"/>
          <w:sz w:val="22"/>
        </w:rPr>
        <w:t xml:space="preserve">Read-through: </w:t>
      </w:r>
      <w:r>
        <w:rPr>
          <w:rFonts w:ascii="Calibri" w:hAnsi="Calibri"/>
          <w:color w:val="525866"/>
          <w:sz w:val="22"/>
        </w:rPr>
        <w:t>Continued acceleration in large load contracting is a strong positive for D’s Virginia data center pipeline.</w:t>
      </w:r>
    </w:p>
    <w:p>
      <w:pPr>
        <w:pStyle w:val="ListBullet"/>
        <w:ind w:left="360" w:hanging="360"/>
      </w:pPr>
      <w:r>
        <w:rPr>
          <w:rFonts w:ascii="Calibri" w:hAnsi="Calibri"/>
          <w:b/>
          <w:color w:val="525866"/>
          <w:sz w:val="22"/>
        </w:rPr>
        <w:t xml:space="preserve">Virginia Specifically: </w:t>
      </w:r>
      <w:r>
        <w:rPr>
          <w:rFonts w:ascii="Calibri" w:hAnsi="Calibri"/>
          <w:color w:val="525866"/>
          <w:sz w:val="22"/>
        </w:rPr>
        <w:t xml:space="preserve">AEP completed a $1.4B securitization in Virginia in May, enabling Appalachian Power to file its “lowest increase in a base rate request in nearly 30 years.” Virginia large load tariff approved in June — AEP now has 5 approved large load tariffs across its portfolio. </w:t>
      </w:r>
      <w:r>
        <w:rPr>
          <w:rFonts w:ascii="Calibri" w:hAnsi="Calibri"/>
          <w:b/>
          <w:color w:val="525866"/>
          <w:sz w:val="22"/>
        </w:rPr>
        <w:t xml:space="preserve">Read-through: </w:t>
      </w:r>
      <w:r>
        <w:rPr>
          <w:rFonts w:ascii="Calibri" w:hAnsi="Calibri"/>
          <w:color w:val="525866"/>
          <w:sz w:val="22"/>
        </w:rPr>
        <w:t>Constructive Virginia regulatory environment confirmed; large load tariff approval is directly relevant to D’s Virginia operations.</w:t>
      </w:r>
    </w:p>
    <w:p>
      <w:pPr>
        <w:pStyle w:val="ListBullet"/>
        <w:ind w:left="360" w:hanging="360"/>
      </w:pPr>
      <w:r>
        <w:rPr>
          <w:rFonts w:ascii="Calibri" w:hAnsi="Calibri"/>
          <w:b/>
          <w:color w:val="525866"/>
          <w:sz w:val="22"/>
        </w:rPr>
        <w:t xml:space="preserve">Capital Plan: </w:t>
      </w:r>
      <w:r>
        <w:rPr>
          <w:rFonts w:ascii="Calibri" w:hAnsi="Calibri"/>
          <w:color w:val="525866"/>
          <w:sz w:val="22"/>
        </w:rPr>
        <w:t xml:space="preserve">AEP’s $78B 5-year capital plan “does not anticipate this magnitude of load growth,” signaling potential for further capital plan increases. AEP has line of sight to $10B+ of incremental investments beyond the base plan. </w:t>
      </w:r>
      <w:r>
        <w:rPr>
          <w:rFonts w:ascii="Calibri" w:hAnsi="Calibri"/>
          <w:b/>
          <w:color w:val="525866"/>
          <w:sz w:val="22"/>
        </w:rPr>
        <w:t xml:space="preserve">Read-through: </w:t>
      </w:r>
      <w:r>
        <w:rPr>
          <w:rFonts w:ascii="Calibri" w:hAnsi="Calibri"/>
          <w:color w:val="525866"/>
          <w:sz w:val="22"/>
        </w:rPr>
        <w:t>Consistent with D’s messaging that the current $65B plan will be updated upward in Q4 2026 to reflect battery storage and other opportunities.</w:t>
      </w:r>
    </w:p>
    <w:p>
      <w:pPr>
        <w:pStyle w:val="ListBullet"/>
        <w:ind w:left="360" w:hanging="360"/>
      </w:pPr>
      <w:r>
        <w:rPr>
          <w:rFonts w:ascii="Calibri" w:hAnsi="Calibri"/>
          <w:b/>
          <w:color w:val="525866"/>
          <w:sz w:val="22"/>
        </w:rPr>
        <w:t xml:space="preserve">Regulatory ROE: </w:t>
      </w:r>
      <w:r>
        <w:rPr>
          <w:rFonts w:ascii="Calibri" w:hAnsi="Calibri"/>
          <w:color w:val="525866"/>
          <w:sz w:val="22"/>
        </w:rPr>
        <w:t xml:space="preserve">AEP’s regulated earned ROE was 9.2% in Q2, with a path to 9.5% by 2030. Ohio distribution base case settlement approved with 9.84% ROE. </w:t>
      </w:r>
      <w:r>
        <w:rPr>
          <w:rFonts w:ascii="Calibri" w:hAnsi="Calibri"/>
          <w:b/>
          <w:color w:val="525866"/>
          <w:sz w:val="22"/>
        </w:rPr>
        <w:t xml:space="preserve">Read-through: </w:t>
      </w:r>
      <w:r>
        <w:rPr>
          <w:rFonts w:ascii="Calibri" w:hAnsi="Calibri"/>
          <w:color w:val="525866"/>
          <w:sz w:val="22"/>
        </w:rPr>
        <w:t>Constructive regulatory outcomes across the sector support D’s rate case expectations.</w:t>
      </w:r>
    </w:p>
    <w:p>
      <w:pPr>
        <w:pStyle w:val="Heading2"/>
      </w:pPr>
      <w:r>
        <w:rPr>
          <w:rFonts w:ascii="Calibri" w:hAnsi="Calibri"/>
          <w:b/>
          <w:color w:val="3B4259"/>
          <w:sz w:val="28"/>
        </w:rPr>
        <w:t>Exelon (EXC) — Q2 2026 Earnings (July 30, 2026)</w:t>
      </w:r>
    </w:p>
    <w:p>
      <w:r>
        <w:rPr>
          <w:rFonts w:ascii="Calibri" w:hAnsi="Calibri"/>
          <w:b/>
          <w:color w:val="525866"/>
          <w:sz w:val="22"/>
        </w:rPr>
        <w:t xml:space="preserve">Read-Through Relevance: </w:t>
      </w:r>
      <w:r>
        <w:rPr>
          <w:rFonts w:ascii="Calibri" w:hAnsi="Calibri"/>
          <w:color w:val="525866"/>
          <w:sz w:val="22"/>
        </w:rPr>
        <w:t>Moderate — EXC is a PJM-region peer; PJM capacity market dynamics are directly relevant to D’s Virginia load-serving obligations and CVOW economics.</w:t>
      </w:r>
    </w:p>
    <w:p>
      <w:pPr>
        <w:pStyle w:val="ListBullet"/>
        <w:ind w:left="360" w:hanging="360"/>
      </w:pPr>
      <w:r>
        <w:rPr>
          <w:rFonts w:ascii="Calibri" w:hAnsi="Calibri"/>
          <w:b/>
          <w:color w:val="525866"/>
          <w:sz w:val="22"/>
        </w:rPr>
        <w:t xml:space="preserve">PJM Capacity Market Stress: </w:t>
      </w:r>
      <w:r>
        <w:rPr>
          <w:rFonts w:ascii="Calibri" w:hAnsi="Calibri"/>
          <w:color w:val="525866"/>
          <w:sz w:val="22"/>
        </w:rPr>
        <w:t xml:space="preserve">PJM demand hit a record peak of 168 GW in July; prices surged 10x from ~$80 to ~$800/MWh. The most recent PJM capacity auction cleared at the FERC-approved price cap for the third consecutive auction, yet fell short of PJM’s reliability requirement by approximately </w:t>
      </w:r>
      <w:r>
        <w:rPr>
          <w:rFonts w:ascii="Calibri" w:hAnsi="Calibri"/>
          <w:b/>
          <w:color w:val="525866"/>
          <w:sz w:val="22"/>
        </w:rPr>
        <w:t>6.8 GW</w:t>
      </w:r>
      <w:r>
        <w:rPr>
          <w:rFonts w:ascii="Calibri" w:hAnsi="Calibri"/>
          <w:color w:val="525866"/>
          <w:sz w:val="22"/>
        </w:rPr>
        <w:t xml:space="preserve"> (equivalent to ~7 nuclear reactors of missing supply). Only 525 MW of new generation cleared. </w:t>
      </w:r>
      <w:r>
        <w:rPr>
          <w:rFonts w:ascii="Calibri" w:hAnsi="Calibri"/>
          <w:b/>
          <w:color w:val="525866"/>
          <w:sz w:val="22"/>
        </w:rPr>
        <w:t xml:space="preserve">Read-through: </w:t>
      </w:r>
      <w:r>
        <w:rPr>
          <w:rFonts w:ascii="Calibri" w:hAnsi="Calibri"/>
          <w:color w:val="525866"/>
          <w:sz w:val="22"/>
        </w:rPr>
        <w:t>Significant — PJM capacity scarcity reinforces the urgency of D’s CVOW completion and new generation investment; also validates D’s vertically integrated model as a competitive advantage vs. merchant generators.</w:t>
      </w:r>
    </w:p>
    <w:p>
      <w:pPr>
        <w:pStyle w:val="ListBullet"/>
        <w:ind w:left="360" w:hanging="360"/>
      </w:pPr>
      <w:r>
        <w:rPr>
          <w:rFonts w:ascii="Calibri" w:hAnsi="Calibri"/>
          <w:b/>
          <w:color w:val="525866"/>
          <w:sz w:val="22"/>
        </w:rPr>
        <w:t xml:space="preserve">Data Center Pipeline Refinement: </w:t>
      </w:r>
      <w:r>
        <w:rPr>
          <w:rFonts w:ascii="Calibri" w:hAnsi="Calibri"/>
          <w:color w:val="525866"/>
          <w:sz w:val="22"/>
        </w:rPr>
        <w:t xml:space="preserve">EXC reduced its data center pipeline from 43 GW to 36 GW after “weeding out speculative projects” — 4 GW have signed TSAs backed by $1B in collateral; 7 GW are further-along projects that predated the TSA process. Capital plan of $41B unchanged. </w:t>
      </w:r>
      <w:r>
        <w:rPr>
          <w:rFonts w:ascii="Calibri" w:hAnsi="Calibri"/>
          <w:b/>
          <w:color w:val="525866"/>
          <w:sz w:val="22"/>
        </w:rPr>
        <w:t xml:space="preserve">Read-through: </w:t>
      </w:r>
      <w:r>
        <w:rPr>
          <w:rFonts w:ascii="Calibri" w:hAnsi="Calibri"/>
          <w:color w:val="525866"/>
          <w:sz w:val="22"/>
        </w:rPr>
        <w:t>Slightly cautionary — EXC’s pipeline reduction reflects quality-over-quantity discipline, but D’s Virginia market is structurally different (hyperscalers with executed ESAs, not speculative projects).</w:t>
      </w:r>
    </w:p>
    <w:p>
      <w:pPr>
        <w:pStyle w:val="ListBullet"/>
        <w:ind w:left="360" w:hanging="360"/>
      </w:pPr>
      <w:r>
        <w:rPr>
          <w:rFonts w:ascii="Calibri" w:hAnsi="Calibri"/>
          <w:b/>
          <w:color w:val="525866"/>
          <w:sz w:val="22"/>
        </w:rPr>
        <w:t xml:space="preserve">Transmission Opportunity: </w:t>
      </w:r>
      <w:r>
        <w:rPr>
          <w:rFonts w:ascii="Calibri" w:hAnsi="Calibri"/>
          <w:color w:val="525866"/>
          <w:sz w:val="22"/>
        </w:rPr>
        <w:t xml:space="preserve">EXC sees $12B–$17B of incremental transmission investment opportunity beyond 2029, driven by data center pipeline, state policies, and competitive transmission. </w:t>
      </w:r>
      <w:r>
        <w:rPr>
          <w:rFonts w:ascii="Calibri" w:hAnsi="Calibri"/>
          <w:b/>
          <w:color w:val="525866"/>
          <w:sz w:val="22"/>
        </w:rPr>
        <w:t xml:space="preserve">Read-through: </w:t>
      </w:r>
      <w:r>
        <w:rPr>
          <w:rFonts w:ascii="Calibri" w:hAnsi="Calibri"/>
          <w:color w:val="525866"/>
          <w:sz w:val="22"/>
        </w:rPr>
        <w:t>Positive for D’s transmission capital deployment narrative.</w:t>
      </w:r>
    </w:p>
    <w:p>
      <w:pPr>
        <w:pStyle w:val="ListBullet"/>
        <w:ind w:left="360" w:hanging="360"/>
      </w:pPr>
      <w:r>
        <w:rPr>
          <w:rFonts w:ascii="Calibri" w:hAnsi="Calibri"/>
          <w:b/>
          <w:color w:val="525866"/>
          <w:sz w:val="22"/>
        </w:rPr>
        <w:t xml:space="preserve">Rate Cases: </w:t>
      </w:r>
      <w:r>
        <w:rPr>
          <w:rFonts w:ascii="Calibri" w:hAnsi="Calibri"/>
          <w:color w:val="525866"/>
          <w:sz w:val="22"/>
        </w:rPr>
        <w:t xml:space="preserve">Multiple rate cases in progress across EXC’s jurisdictions (MD, DE, IL, PA). Pennsylvania regulatory environment described as “still a solid regulatory framework” despite governor’s affordability focus. </w:t>
      </w:r>
      <w:r>
        <w:rPr>
          <w:rFonts w:ascii="Calibri" w:hAnsi="Calibri"/>
          <w:b/>
          <w:color w:val="525866"/>
          <w:sz w:val="22"/>
        </w:rPr>
        <w:t xml:space="preserve">Read-through: </w:t>
      </w:r>
      <w:r>
        <w:rPr>
          <w:rFonts w:ascii="Calibri" w:hAnsi="Calibri"/>
          <w:color w:val="525866"/>
          <w:sz w:val="22"/>
        </w:rPr>
        <w:t>Neutral; D’s Virginia and Carolinas regulatory environments are more constructive than EXC’s mid-Atlantic jurisdictions.</w:t>
      </w:r>
    </w:p>
    <w:p>
      <w:pPr>
        <w:pStyle w:val="Heading2"/>
      </w:pPr>
      <w:r>
        <w:rPr>
          <w:rFonts w:ascii="Calibri" w:hAnsi="Calibri"/>
          <w:b/>
          <w:color w:val="3B4259"/>
          <w:sz w:val="28"/>
        </w:rPr>
        <w:t>Xcel Energy (XEL) — Q2 2026 Earnings (July 30, 2026)</w:t>
      </w:r>
    </w:p>
    <w:p>
      <w:r>
        <w:rPr>
          <w:rFonts w:ascii="Calibri" w:hAnsi="Calibri"/>
          <w:b/>
          <w:color w:val="525866"/>
          <w:sz w:val="22"/>
        </w:rPr>
        <w:t xml:space="preserve">Read-Through Relevance: </w:t>
      </w:r>
      <w:r>
        <w:rPr>
          <w:rFonts w:ascii="Calibri" w:hAnsi="Calibri"/>
          <w:color w:val="525866"/>
          <w:sz w:val="22"/>
        </w:rPr>
        <w:t>Low-to-moderate — XEL operates in the Upper Midwest and Southwest; limited geographic overlap with D, but relevant on data center demand trends and capital deployment.</w:t>
      </w:r>
    </w:p>
    <w:p>
      <w:pPr>
        <w:pStyle w:val="ListBullet"/>
        <w:ind w:left="360" w:hanging="360"/>
      </w:pPr>
      <w:r>
        <w:rPr>
          <w:rFonts w:ascii="Calibri" w:hAnsi="Calibri"/>
          <w:b/>
          <w:color w:val="525866"/>
          <w:sz w:val="22"/>
        </w:rPr>
        <w:t xml:space="preserve">Data Center Demand: </w:t>
      </w:r>
      <w:r>
        <w:rPr>
          <w:rFonts w:ascii="Calibri" w:hAnsi="Calibri"/>
          <w:color w:val="525866"/>
          <w:sz w:val="22"/>
        </w:rPr>
        <w:t xml:space="preserve">XEL has 1 GW of data centers in operation/construction, 1 GW under signed ESAs, and expects to secure an additional 4 GW by year-end 2027. High-probability pipeline of 20 GW. Large load tariffs recently approved in Minnesota; filed in Colorado and Wisconsin. </w:t>
      </w:r>
      <w:r>
        <w:rPr>
          <w:rFonts w:ascii="Calibri" w:hAnsi="Calibri"/>
          <w:b/>
          <w:color w:val="525866"/>
          <w:sz w:val="22"/>
        </w:rPr>
        <w:t xml:space="preserve">Read-through: </w:t>
      </w:r>
      <w:r>
        <w:rPr>
          <w:rFonts w:ascii="Calibri" w:hAnsi="Calibri"/>
          <w:color w:val="525866"/>
          <w:sz w:val="22"/>
        </w:rPr>
        <w:t>Positive for sector-wide data center demand; XEL’s tariff approvals across multiple states confirm regulatory receptivity to large load frameworks.</w:t>
      </w:r>
    </w:p>
    <w:p>
      <w:pPr>
        <w:pStyle w:val="ListBullet"/>
        <w:ind w:left="360" w:hanging="360"/>
      </w:pPr>
      <w:r>
        <w:rPr>
          <w:rFonts w:ascii="Calibri" w:hAnsi="Calibri"/>
          <w:b/>
          <w:color w:val="525866"/>
          <w:sz w:val="22"/>
        </w:rPr>
        <w:t xml:space="preserve">Capital Deployment: </w:t>
      </w:r>
      <w:r>
        <w:rPr>
          <w:rFonts w:ascii="Calibri" w:hAnsi="Calibri"/>
          <w:color w:val="525866"/>
          <w:sz w:val="22"/>
        </w:rPr>
        <w:t xml:space="preserve">XEL invested $3B in Q2 and $6B+ YTD. SPS RFP selected 2,600 MW of new company-owned generation ($6B investment). Line of sight to $70B+ total investments in the 5-year plan. </w:t>
      </w:r>
      <w:r>
        <w:rPr>
          <w:rFonts w:ascii="Calibri" w:hAnsi="Calibri"/>
          <w:b/>
          <w:color w:val="525866"/>
          <w:sz w:val="22"/>
        </w:rPr>
        <w:t xml:space="preserve">Read-through: </w:t>
      </w:r>
      <w:r>
        <w:rPr>
          <w:rFonts w:ascii="Calibri" w:hAnsi="Calibri"/>
          <w:color w:val="525866"/>
          <w:sz w:val="22"/>
        </w:rPr>
        <w:t>Consistent with sector-wide capital intensity; supports D’s capital plan credibility.</w:t>
      </w:r>
    </w:p>
    <w:p>
      <w:pPr>
        <w:pStyle w:val="ListBullet"/>
        <w:ind w:left="360" w:hanging="360"/>
      </w:pPr>
      <w:r>
        <w:rPr>
          <w:rFonts w:ascii="Calibri" w:hAnsi="Calibri"/>
          <w:b/>
          <w:color w:val="525866"/>
          <w:sz w:val="22"/>
        </w:rPr>
        <w:t xml:space="preserve">EPS Guidance Reaffirmed: </w:t>
      </w:r>
      <w:r>
        <w:rPr>
          <w:rFonts w:ascii="Calibri" w:hAnsi="Calibri"/>
          <w:color w:val="525866"/>
          <w:sz w:val="22"/>
        </w:rPr>
        <w:t xml:space="preserve">XEL reaffirmed 2026 ongoing EPS guidance of $4.04–$4.16 and 6–8%+ long-term earnings growth, with line of sight to 9%+ EPS growth through 2030. </w:t>
      </w:r>
      <w:r>
        <w:rPr>
          <w:rFonts w:ascii="Calibri" w:hAnsi="Calibri"/>
          <w:b/>
          <w:color w:val="525866"/>
          <w:sz w:val="22"/>
        </w:rPr>
        <w:t xml:space="preserve">Read-through: </w:t>
      </w:r>
      <w:r>
        <w:rPr>
          <w:rFonts w:ascii="Calibri" w:hAnsi="Calibri"/>
          <w:color w:val="525866"/>
          <w:sz w:val="22"/>
        </w:rPr>
        <w:t>Positive for sector earnings visibility; peers reaffirming guidance reduces risk of D guidance cut.</w:t>
      </w:r>
    </w:p>
    <w:p>
      <w:pPr>
        <w:pStyle w:val="Heading2"/>
      </w:pPr>
      <w:r>
        <w:rPr>
          <w:rFonts w:ascii="Calibri" w:hAnsi="Calibri"/>
          <w:b/>
          <w:color w:val="3B4259"/>
          <w:sz w:val="28"/>
        </w:rPr>
        <w:t>PG&amp;E (PCG) — Q2 2026 Earnings (July 23, 2026)</w:t>
      </w:r>
    </w:p>
    <w:p>
      <w:r>
        <w:rPr>
          <w:rFonts w:ascii="Calibri" w:hAnsi="Calibri"/>
          <w:b/>
          <w:color w:val="525866"/>
          <w:sz w:val="22"/>
        </w:rPr>
        <w:t xml:space="preserve">Read-Through Relevance: </w:t>
      </w:r>
      <w:r>
        <w:rPr>
          <w:rFonts w:ascii="Calibri" w:hAnsi="Calibri"/>
          <w:color w:val="525866"/>
          <w:sz w:val="22"/>
        </w:rPr>
        <w:t>Low — PCG operates in California with a very different regulatory and risk profile; limited direct read-through to D, but relevant on data center demand quality and large load tariff design.</w:t>
      </w:r>
    </w:p>
    <w:p>
      <w:pPr>
        <w:pStyle w:val="ListBullet"/>
        <w:ind w:left="360" w:hanging="360"/>
      </w:pPr>
      <w:r>
        <w:rPr>
          <w:rFonts w:ascii="Calibri" w:hAnsi="Calibri"/>
          <w:b/>
          <w:color w:val="525866"/>
          <w:sz w:val="22"/>
        </w:rPr>
        <w:t xml:space="preserve">Data Center Pipeline Quality: </w:t>
      </w:r>
      <w:r>
        <w:rPr>
          <w:rFonts w:ascii="Calibri" w:hAnsi="Calibri"/>
          <w:color w:val="525866"/>
          <w:sz w:val="22"/>
        </w:rPr>
        <w:t xml:space="preserve">PCG updated its data center pipeline to “over 12 GW” (up from 10 GW pre-application interest last quarter) after incorporating new projects from its 2026 cluster study. PCG raised the threshold for inclusion in final engineering (requiring signed work performance agreement and ~10% of project costs as financial commitment). </w:t>
      </w:r>
      <w:r>
        <w:rPr>
          <w:rFonts w:ascii="Calibri" w:hAnsi="Calibri"/>
          <w:b/>
          <w:color w:val="525866"/>
          <w:sz w:val="22"/>
        </w:rPr>
        <w:t xml:space="preserve">Read-through: </w:t>
      </w:r>
      <w:r>
        <w:rPr>
          <w:rFonts w:ascii="Calibri" w:hAnsi="Calibri"/>
          <w:color w:val="525866"/>
          <w:sz w:val="22"/>
        </w:rPr>
        <w:t>Positive for D — PCG’s quality-focused approach and growing pipeline confirm durable hyperscaler demand; D’s Virginia market has even stronger fundamentals.</w:t>
      </w:r>
    </w:p>
    <w:p>
      <w:pPr>
        <w:pStyle w:val="ListBullet"/>
        <w:ind w:left="360" w:hanging="360"/>
      </w:pPr>
      <w:r>
        <w:rPr>
          <w:rFonts w:ascii="Calibri" w:hAnsi="Calibri"/>
          <w:b/>
          <w:color w:val="525866"/>
          <w:sz w:val="22"/>
        </w:rPr>
        <w:t xml:space="preserve">Capital Plan Reaffirmed: </w:t>
      </w:r>
      <w:r>
        <w:rPr>
          <w:rFonts w:ascii="Calibri" w:hAnsi="Calibri"/>
          <w:color w:val="525866"/>
          <w:sz w:val="22"/>
        </w:rPr>
        <w:t xml:space="preserve">PCG reaffirmed its $73B capital plan through 2030 with no additional equity financing needed. Core EPS guidance of $1.64–$1.66 (midpoint +10% over 2025) reaffirmed. </w:t>
      </w:r>
      <w:r>
        <w:rPr>
          <w:rFonts w:ascii="Calibri" w:hAnsi="Calibri"/>
          <w:b/>
          <w:color w:val="525866"/>
          <w:sz w:val="22"/>
        </w:rPr>
        <w:t xml:space="preserve">Read-through: </w:t>
      </w:r>
      <w:r>
        <w:rPr>
          <w:rFonts w:ascii="Calibri" w:hAnsi="Calibri"/>
          <w:color w:val="525866"/>
          <w:sz w:val="22"/>
        </w:rPr>
        <w:t>Positive for sector earnings visibility; peers reaffirming guidance reduces risk of D guidance cut.</w:t>
      </w:r>
    </w:p>
    <w:p>
      <w:pPr>
        <w:pStyle w:val="ListBullet"/>
        <w:ind w:left="360" w:hanging="360"/>
      </w:pPr>
      <w:r>
        <w:rPr>
          <w:rFonts w:ascii="Calibri" w:hAnsi="Calibri"/>
          <w:b/>
          <w:color w:val="525866"/>
          <w:sz w:val="22"/>
        </w:rPr>
        <w:t xml:space="preserve">Wildfire Liability Risk: </w:t>
      </w:r>
      <w:r>
        <w:rPr>
          <w:rFonts w:ascii="Calibri" w:hAnsi="Calibri"/>
          <w:color w:val="525866"/>
          <w:sz w:val="22"/>
        </w:rPr>
        <w:t xml:space="preserve">PCG warned it would “reevaluate capital allocation priorities” if wildfire liability framework remains unresolved. </w:t>
      </w:r>
      <w:r>
        <w:rPr>
          <w:rFonts w:ascii="Calibri" w:hAnsi="Calibri"/>
          <w:b/>
          <w:color w:val="525866"/>
          <w:sz w:val="22"/>
        </w:rPr>
        <w:t xml:space="preserve">Read-through: </w:t>
      </w:r>
      <w:r>
        <w:rPr>
          <w:rFonts w:ascii="Calibri" w:hAnsi="Calibri"/>
          <w:color w:val="525866"/>
          <w:sz w:val="22"/>
        </w:rPr>
        <w:t>Not applicable to D; D has no wildfire exposure. Highlights D’s superior regulatory risk profile.</w:t>
      </w:r>
    </w:p>
    <w:p>
      <w:pPr>
        <w:pStyle w:val="Heading2"/>
      </w:pPr>
      <w:r>
        <w:rPr>
          <w:rFonts w:ascii="Calibri" w:hAnsi="Calibri"/>
          <w:b/>
          <w:color w:val="3B4259"/>
          <w:sz w:val="28"/>
        </w:rPr>
        <w:t>Entergy (ETR) — Investor Day (June 9, 2026)</w:t>
      </w:r>
    </w:p>
    <w:p>
      <w:r>
        <w:rPr>
          <w:rFonts w:ascii="Calibri" w:hAnsi="Calibri"/>
          <w:b/>
          <w:color w:val="525866"/>
          <w:sz w:val="22"/>
        </w:rPr>
        <w:t xml:space="preserve">Read-Through Relevance: </w:t>
      </w:r>
      <w:r>
        <w:rPr>
          <w:rFonts w:ascii="Calibri" w:hAnsi="Calibri"/>
          <w:color w:val="525866"/>
          <w:sz w:val="22"/>
        </w:rPr>
        <w:t>Moderate — ETR serves the Gulf Coast with a large industrial/data center load base; relevant on data center demand quality, capital deployment, and credit metrics.</w:t>
      </w:r>
    </w:p>
    <w:p>
      <w:pPr>
        <w:pStyle w:val="ListBullet"/>
        <w:ind w:left="360" w:hanging="360"/>
      </w:pPr>
      <w:r>
        <w:rPr>
          <w:rFonts w:ascii="Calibri" w:hAnsi="Calibri"/>
          <w:b/>
          <w:color w:val="525866"/>
          <w:sz w:val="22"/>
        </w:rPr>
        <w:t xml:space="preserve">Data Center Demand Scale: </w:t>
      </w:r>
      <w:r>
        <w:rPr>
          <w:rFonts w:ascii="Calibri" w:hAnsi="Calibri"/>
          <w:color w:val="525866"/>
          <w:sz w:val="22"/>
        </w:rPr>
        <w:t xml:space="preserve">Meta is building a 5 GW data center campus in Richland Parish, Louisiana — a “$50B investment across Meta in partnership with Entergy.” AWS is expanding across ETR’s service territory. ETR’s ESA backlog has “grown by nearly double” in two years. 24-month ESA outlook: 7–12 GW for data centers + 3–5 GW for other industries. </w:t>
      </w:r>
      <w:r>
        <w:rPr>
          <w:rFonts w:ascii="Calibri" w:hAnsi="Calibri"/>
          <w:b/>
          <w:color w:val="525866"/>
          <w:sz w:val="22"/>
        </w:rPr>
        <w:t xml:space="preserve">Read-through: </w:t>
      </w:r>
      <w:r>
        <w:rPr>
          <w:rFonts w:ascii="Calibri" w:hAnsi="Calibri"/>
          <w:color w:val="525866"/>
          <w:sz w:val="22"/>
        </w:rPr>
        <w:t>Extremely bullish for D’s data center demand narrative; hyperscalers are committing to multi-GW, multi-decade infrastructure investments with regulated utilities.</w:t>
      </w:r>
    </w:p>
    <w:p>
      <w:pPr>
        <w:pStyle w:val="ListBullet"/>
        <w:ind w:left="360" w:hanging="360"/>
      </w:pPr>
      <w:r>
        <w:rPr>
          <w:rFonts w:ascii="Calibri" w:hAnsi="Calibri"/>
          <w:b/>
          <w:color w:val="525866"/>
          <w:sz w:val="22"/>
        </w:rPr>
        <w:t xml:space="preserve">Capital Plan Doubled: </w:t>
      </w:r>
      <w:r>
        <w:rPr>
          <w:rFonts w:ascii="Calibri" w:hAnsi="Calibri"/>
          <w:color w:val="525866"/>
          <w:sz w:val="22"/>
        </w:rPr>
        <w:t xml:space="preserve">ETR’s 5-year capital plan has doubled to $67B from two years ago. Rate base projected to reach $97B by 2030 (16% CAGR since 2025 — “highest rate base growth in the industry”). Adjusted EPS growth &gt;8% through 2030. </w:t>
      </w:r>
      <w:r>
        <w:rPr>
          <w:rFonts w:ascii="Calibri" w:hAnsi="Calibri"/>
          <w:b/>
          <w:color w:val="525866"/>
          <w:sz w:val="22"/>
        </w:rPr>
        <w:t xml:space="preserve">Read-through: </w:t>
      </w:r>
      <w:r>
        <w:rPr>
          <w:rFonts w:ascii="Calibri" w:hAnsi="Calibri"/>
          <w:color w:val="525866"/>
          <w:sz w:val="22"/>
        </w:rPr>
        <w:t>Positive for D’s capital deployment credibility; demonstrates that regulated utilities can execute on large capital programs while maintaining credit metrics.</w:t>
      </w:r>
    </w:p>
    <w:p>
      <w:pPr>
        <w:pStyle w:val="ListBullet"/>
        <w:ind w:left="360" w:hanging="360"/>
      </w:pPr>
      <w:r>
        <w:rPr>
          <w:rFonts w:ascii="Calibri" w:hAnsi="Calibri"/>
          <w:b/>
          <w:color w:val="525866"/>
          <w:sz w:val="22"/>
        </w:rPr>
        <w:t xml:space="preserve">Credit Metrics: </w:t>
      </w:r>
      <w:r>
        <w:rPr>
          <w:rFonts w:ascii="Calibri" w:hAnsi="Calibri"/>
          <w:color w:val="525866"/>
          <w:sz w:val="22"/>
        </w:rPr>
        <w:t xml:space="preserve">ETR targets FFO/debt ≥15% in every year of the forecast period (Moody’s basis), with 100 bps of room against thresholds. Closed 2025 with “highest FFO to debt on a Moody’s basis in the industry.” </w:t>
      </w:r>
      <w:r>
        <w:rPr>
          <w:rFonts w:ascii="Calibri" w:hAnsi="Calibri"/>
          <w:b/>
          <w:color w:val="525866"/>
          <w:sz w:val="22"/>
        </w:rPr>
        <w:t xml:space="preserve">Read-through: </w:t>
      </w:r>
      <w:r>
        <w:rPr>
          <w:rFonts w:ascii="Calibri" w:hAnsi="Calibri"/>
          <w:color w:val="525866"/>
          <w:sz w:val="22"/>
        </w:rPr>
        <w:t>Positive for D’s credit target credibility; confirms that &gt;15% FFO/debt is achievable alongside aggressive capital deployment.</w:t>
      </w:r>
    </w:p>
    <w:p>
      <w:pPr>
        <w:pStyle w:val="ListBullet"/>
        <w:ind w:left="360" w:hanging="360"/>
      </w:pPr>
      <w:r>
        <w:rPr>
          <w:rFonts w:ascii="Calibri" w:hAnsi="Calibri"/>
          <w:b/>
          <w:color w:val="525866"/>
          <w:sz w:val="22"/>
        </w:rPr>
        <w:t xml:space="preserve">Hyperscaler Commitment Quality: </w:t>
      </w:r>
      <w:r>
        <w:rPr>
          <w:rFonts w:ascii="Calibri" w:hAnsi="Calibri"/>
          <w:color w:val="525866"/>
          <w:sz w:val="22"/>
        </w:rPr>
        <w:t xml:space="preserve">ETR’s “fair share plus pledge” ensures data center customers cover incremental costs plus their share of fixed costs (storm, overhead), projected to generate $7B in savings for existing customers. Hyperscale sales included only at minimum bill level in forecasts. </w:t>
      </w:r>
      <w:r>
        <w:rPr>
          <w:rFonts w:ascii="Calibri" w:hAnsi="Calibri"/>
          <w:b/>
          <w:color w:val="525866"/>
          <w:sz w:val="22"/>
        </w:rPr>
        <w:t xml:space="preserve">Read-through: </w:t>
      </w:r>
      <w:r>
        <w:rPr>
          <w:rFonts w:ascii="Calibri" w:hAnsi="Calibri"/>
          <w:color w:val="525866"/>
          <w:sz w:val="22"/>
        </w:rPr>
        <w:t>Validates D’s large load provisions framework; confirms that properly structured large load contracts protect existing customers.</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Key Theme</w:t>
            </w:r>
          </w:p>
        </w:tc>
        <w:tc>
          <w:tcPr>
            <w:tcW w:type="dxa" w:w="2160"/>
            <w:shd w:val="clear" w:color="auto" w:fill="3B4259"/>
          </w:tcPr>
          <w:p>
            <w:r>
              <w:rPr>
                <w:rFonts w:ascii="Calibri" w:hAnsi="Calibri"/>
                <w:b/>
                <w:color w:val="FFFFFF"/>
                <w:sz w:val="22"/>
              </w:rPr>
              <w:t>D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NEE (Merger Call + Q2)</w:t>
            </w:r>
          </w:p>
        </w:tc>
        <w:tc>
          <w:tcPr>
            <w:tcW w:type="dxa" w:w="2160"/>
          </w:tcPr>
          <w:p>
            <w:r>
              <w:rPr>
                <w:rFonts w:ascii="Calibri" w:hAnsi="Calibri"/>
                <w:sz w:val="22"/>
              </w:rPr>
              <w:t>CVOW confidence; 130+ GW large load pipeline; deal filing with VA SCC July 15</w:t>
            </w:r>
          </w:p>
        </w:tc>
        <w:tc>
          <w:tcPr>
            <w:tcW w:type="dxa" w:w="2160"/>
          </w:tcPr>
          <w:p>
            <w:r>
              <w:rPr>
                <w:rFonts w:ascii="Calibri" w:hAnsi="Calibri"/>
                <w:sz w:val="22"/>
              </w:rPr>
              <w:t>Acquirer validates D’s operational execution and data center thesis; regulatory process on track</w:t>
            </w:r>
          </w:p>
        </w:tc>
        <w:tc>
          <w:tcPr>
            <w:tcW w:type="dxa" w:w="2160"/>
          </w:tcPr>
          <w:p>
            <w:r>
              <w:rPr>
                <w:rFonts w:ascii="Calibri" w:hAnsi="Calibri"/>
                <w:b/>
                <w:color w:val="30A46C"/>
                <w:sz w:val="22"/>
              </w:rPr>
              <w:t>Positive</w:t>
            </w:r>
          </w:p>
        </w:tc>
      </w:tr>
      <w:tr>
        <w:tc>
          <w:tcPr>
            <w:tcW w:type="dxa" w:w="2160"/>
          </w:tcPr>
          <w:p>
            <w:r>
              <w:rPr>
                <w:rFonts w:ascii="Calibri" w:hAnsi="Calibri"/>
                <w:sz w:val="22"/>
              </w:rPr>
              <w:t>SO (Q2 2026)</w:t>
            </w:r>
          </w:p>
        </w:tc>
        <w:tc>
          <w:tcPr>
            <w:tcW w:type="dxa" w:w="2160"/>
          </w:tcPr>
          <w:p>
            <w:r>
              <w:rPr>
                <w:rFonts w:ascii="Calibri" w:hAnsi="Calibri"/>
                <w:sz w:val="22"/>
              </w:rPr>
              <w:t>Data center usage +55% YoY; OpenAI 3.2 GW contract; rate stability</w:t>
            </w:r>
          </w:p>
        </w:tc>
        <w:tc>
          <w:tcPr>
            <w:tcW w:type="dxa" w:w="2160"/>
          </w:tcPr>
          <w:p>
            <w:r>
              <w:rPr>
                <w:rFonts w:ascii="Calibri" w:hAnsi="Calibri"/>
                <w:sz w:val="22"/>
              </w:rPr>
              <w:t>Strongest demand read-through; validates D’s “accelerating and durable” characterization</w:t>
            </w:r>
          </w:p>
        </w:tc>
        <w:tc>
          <w:tcPr>
            <w:tcW w:type="dxa" w:w="2160"/>
          </w:tcPr>
          <w:p>
            <w:r>
              <w:rPr>
                <w:rFonts w:ascii="Calibri" w:hAnsi="Calibri"/>
                <w:b/>
                <w:color w:val="30A46C"/>
                <w:sz w:val="22"/>
              </w:rPr>
              <w:t>Positive</w:t>
            </w:r>
          </w:p>
        </w:tc>
      </w:tr>
      <w:tr>
        <w:tc>
          <w:tcPr>
            <w:tcW w:type="dxa" w:w="2160"/>
          </w:tcPr>
          <w:p>
            <w:r>
              <w:rPr>
                <w:rFonts w:ascii="Calibri" w:hAnsi="Calibri"/>
                <w:sz w:val="22"/>
              </w:rPr>
              <w:t>AEP (Q2 2026)</w:t>
            </w:r>
          </w:p>
        </w:tc>
        <w:tc>
          <w:tcPr>
            <w:tcW w:type="dxa" w:w="2160"/>
          </w:tcPr>
          <w:p>
            <w:r>
              <w:rPr>
                <w:rFonts w:ascii="Calibri" w:hAnsi="Calibri"/>
                <w:sz w:val="22"/>
              </w:rPr>
              <w:t>+6 GW contracted in Q2; Virginia large load tariff approved; $78B capex plan</w:t>
            </w:r>
          </w:p>
        </w:tc>
        <w:tc>
          <w:tcPr>
            <w:tcW w:type="dxa" w:w="2160"/>
          </w:tcPr>
          <w:p>
            <w:r>
              <w:rPr>
                <w:rFonts w:ascii="Calibri" w:hAnsi="Calibri"/>
                <w:sz w:val="22"/>
              </w:rPr>
              <w:t>Virginia regulatory environment constructive; large load demand accelerating</w:t>
            </w:r>
          </w:p>
        </w:tc>
        <w:tc>
          <w:tcPr>
            <w:tcW w:type="dxa" w:w="2160"/>
          </w:tcPr>
          <w:p>
            <w:r>
              <w:rPr>
                <w:rFonts w:ascii="Calibri" w:hAnsi="Calibri"/>
                <w:b/>
                <w:color w:val="30A46C"/>
                <w:sz w:val="22"/>
              </w:rPr>
              <w:t>Positive</w:t>
            </w:r>
          </w:p>
        </w:tc>
      </w:tr>
      <w:tr>
        <w:tc>
          <w:tcPr>
            <w:tcW w:type="dxa" w:w="2160"/>
          </w:tcPr>
          <w:p>
            <w:r>
              <w:rPr>
                <w:rFonts w:ascii="Calibri" w:hAnsi="Calibri"/>
                <w:sz w:val="22"/>
              </w:rPr>
              <w:t>EXC (Q2 2026)</w:t>
            </w:r>
          </w:p>
        </w:tc>
        <w:tc>
          <w:tcPr>
            <w:tcW w:type="dxa" w:w="2160"/>
          </w:tcPr>
          <w:p>
            <w:r>
              <w:rPr>
                <w:rFonts w:ascii="Calibri" w:hAnsi="Calibri"/>
                <w:sz w:val="22"/>
              </w:rPr>
              <w:t>PJM capacity shortfall 6.8 GW; record 168 GW peak demand; pipeline quality focus</w:t>
            </w:r>
          </w:p>
        </w:tc>
        <w:tc>
          <w:tcPr>
            <w:tcW w:type="dxa" w:w="2160"/>
          </w:tcPr>
          <w:p>
            <w:r>
              <w:rPr>
                <w:rFonts w:ascii="Calibri" w:hAnsi="Calibri"/>
                <w:sz w:val="22"/>
              </w:rPr>
              <w:t>PJM stress validates CVOW urgency; pipeline quality discipline is sector-wide trend</w:t>
            </w:r>
          </w:p>
        </w:tc>
        <w:tc>
          <w:tcPr>
            <w:tcW w:type="dxa" w:w="2160"/>
          </w:tcPr>
          <w:p>
            <w:r>
              <w:rPr>
                <w:rFonts w:ascii="Calibri" w:hAnsi="Calibri"/>
                <w:sz w:val="22"/>
              </w:rPr>
              <w:t>Mixed</w:t>
            </w:r>
          </w:p>
        </w:tc>
      </w:tr>
      <w:tr>
        <w:tc>
          <w:tcPr>
            <w:tcW w:type="dxa" w:w="2160"/>
          </w:tcPr>
          <w:p>
            <w:r>
              <w:rPr>
                <w:rFonts w:ascii="Calibri" w:hAnsi="Calibri"/>
                <w:sz w:val="22"/>
              </w:rPr>
              <w:t>XEL (Q2 2026)</w:t>
            </w:r>
          </w:p>
        </w:tc>
        <w:tc>
          <w:tcPr>
            <w:tcW w:type="dxa" w:w="2160"/>
          </w:tcPr>
          <w:p>
            <w:r>
              <w:rPr>
                <w:rFonts w:ascii="Calibri" w:hAnsi="Calibri"/>
                <w:sz w:val="22"/>
              </w:rPr>
              <w:t>Guidance reaffirmed; 9%+ EPS growth through 2030; large load tariff approvals</w:t>
            </w:r>
          </w:p>
        </w:tc>
        <w:tc>
          <w:tcPr>
            <w:tcW w:type="dxa" w:w="2160"/>
          </w:tcPr>
          <w:p>
            <w:r>
              <w:rPr>
                <w:rFonts w:ascii="Calibri" w:hAnsi="Calibri"/>
                <w:sz w:val="22"/>
              </w:rPr>
              <w:t>Sector earnings visibility; tariff approvals confirm regulatory receptivity</w:t>
            </w:r>
          </w:p>
        </w:tc>
        <w:tc>
          <w:tcPr>
            <w:tcW w:type="dxa" w:w="2160"/>
          </w:tcPr>
          <w:p>
            <w:r>
              <w:rPr>
                <w:rFonts w:ascii="Calibri" w:hAnsi="Calibri"/>
                <w:b/>
                <w:color w:val="30A46C"/>
                <w:sz w:val="22"/>
              </w:rPr>
              <w:t>Positive</w:t>
            </w:r>
          </w:p>
        </w:tc>
      </w:tr>
      <w:tr>
        <w:tc>
          <w:tcPr>
            <w:tcW w:type="dxa" w:w="2160"/>
          </w:tcPr>
          <w:p>
            <w:r>
              <w:rPr>
                <w:rFonts w:ascii="Calibri" w:hAnsi="Calibri"/>
                <w:sz w:val="22"/>
              </w:rPr>
              <w:t>PCG (Q2 2026)</w:t>
            </w:r>
          </w:p>
        </w:tc>
        <w:tc>
          <w:tcPr>
            <w:tcW w:type="dxa" w:w="2160"/>
          </w:tcPr>
          <w:p>
            <w:r>
              <w:rPr>
                <w:rFonts w:ascii="Calibri" w:hAnsi="Calibri"/>
                <w:sz w:val="22"/>
              </w:rPr>
              <w:t>Pipeline quality focus; $73B capex reaffirmed; wildfire risk (not applicable to D)</w:t>
            </w:r>
          </w:p>
        </w:tc>
        <w:tc>
          <w:tcPr>
            <w:tcW w:type="dxa" w:w="2160"/>
          </w:tcPr>
          <w:p>
            <w:r>
              <w:rPr>
                <w:rFonts w:ascii="Calibri" w:hAnsi="Calibri"/>
                <w:sz w:val="22"/>
              </w:rPr>
              <w:t>Highlights D’s superior regulatory risk profile; demand quality trend is sector-wide</w:t>
            </w:r>
          </w:p>
        </w:tc>
        <w:tc>
          <w:tcPr>
            <w:tcW w:type="dxa" w:w="2160"/>
          </w:tcPr>
          <w:p>
            <w:r>
              <w:rPr>
                <w:rFonts w:ascii="Calibri" w:hAnsi="Calibri"/>
                <w:b/>
                <w:color w:val="30A46C"/>
                <w:sz w:val="22"/>
              </w:rPr>
              <w:t>Positive</w:t>
            </w:r>
          </w:p>
        </w:tc>
      </w:tr>
      <w:tr>
        <w:tc>
          <w:tcPr>
            <w:tcW w:type="dxa" w:w="2160"/>
          </w:tcPr>
          <w:p>
            <w:r>
              <w:rPr>
                <w:rFonts w:ascii="Calibri" w:hAnsi="Calibri"/>
                <w:sz w:val="22"/>
              </w:rPr>
              <w:t>ETR (Investor Day, June 9)</w:t>
            </w:r>
          </w:p>
        </w:tc>
        <w:tc>
          <w:tcPr>
            <w:tcW w:type="dxa" w:w="2160"/>
          </w:tcPr>
          <w:p>
            <w:r>
              <w:rPr>
                <w:rFonts w:ascii="Calibri" w:hAnsi="Calibri"/>
                <w:sz w:val="22"/>
              </w:rPr>
              <w:t>5 GW Meta campus; ESA backlog doubled; $67B capex; &gt;8% EPS growth</w:t>
            </w:r>
          </w:p>
        </w:tc>
        <w:tc>
          <w:tcPr>
            <w:tcW w:type="dxa" w:w="2160"/>
          </w:tcPr>
          <w:p>
            <w:r>
              <w:rPr>
                <w:rFonts w:ascii="Calibri" w:hAnsi="Calibri"/>
                <w:sz w:val="22"/>
              </w:rPr>
              <w:t>Hyperscaler commitment quality and scale; credit metric achievability alongside large capex</w:t>
            </w:r>
          </w:p>
        </w:tc>
        <w:tc>
          <w:tcPr>
            <w:tcW w:type="dxa" w:w="2160"/>
          </w:tcPr>
          <w:p>
            <w:r>
              <w:rPr>
                <w:rFonts w:ascii="Calibri" w:hAnsi="Calibri"/>
                <w:b/>
                <w:color w:val="30A46C"/>
                <w:sz w:val="22"/>
              </w:rPr>
              <w:t>Positive</w:t>
            </w:r>
          </w:p>
        </w:tc>
      </w:tr>
    </w:tbl>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sells (Form 4 codes P/S) were filed by D insiders in the period since the Q1 2026 earnings date (May 1, 2026 through July 30, 2026). </w:t>
      </w:r>
      <w:r>
        <w:rPr>
          <w:rFonts w:ascii="Calibri" w:hAnsi="Calibri"/>
          <w:b/>
          <w:color w:val="525866"/>
          <w:sz w:val="22"/>
        </w:rPr>
        <w:t>All insider transactions in the period were equity award grants (code A) to non-employee directors at the annual shareholder meeting on May 7, 2026</w:t>
      </w:r>
      <w:r>
        <w:rPr>
          <w:rFonts w:ascii="Calibri" w:hAnsi="Calibri"/>
          <w:color w:val="525866"/>
          <w:sz w:val="22"/>
        </w:rPr>
        <w:t xml:space="preserve"> — routine compensation, not a discretionary signal. The absence of open-market selling by executives ahead of the merger announcement is notable.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Bennett, James A.</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2,820</w:t>
            </w:r>
          </w:p>
        </w:tc>
        <w:tc>
          <w:tcPr>
            <w:tcW w:type="dxa" w:w="1440"/>
          </w:tcPr>
          <w:p>
            <w:r>
              <w:rPr>
                <w:rFonts w:ascii="Calibri" w:hAnsi="Calibri"/>
                <w:sz w:val="22"/>
              </w:rPr>
              <w:t>May 5, 2026</w:t>
            </w:r>
          </w:p>
        </w:tc>
        <w:tc>
          <w:tcPr>
            <w:tcW w:type="dxa" w:w="1440"/>
          </w:tcPr>
          <w:p>
            <w:r>
              <w:rPr>
                <w:rFonts w:ascii="Calibri" w:hAnsi="Calibri"/>
                <w:sz w:val="22"/>
              </w:rPr>
              <w:t>Routine annual director compensation grant; non-discretionary</w:t>
            </w:r>
          </w:p>
        </w:tc>
      </w:tr>
      <w:tr>
        <w:tc>
          <w:tcPr>
            <w:tcW w:type="dxa" w:w="1440"/>
          </w:tcPr>
          <w:p>
            <w:r>
              <w:rPr>
                <w:rFonts w:ascii="Calibri" w:hAnsi="Calibri"/>
                <w:sz w:val="22"/>
              </w:rPr>
              <w:t>Hagood, D. Maybank</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2,820</w:t>
            </w:r>
          </w:p>
        </w:tc>
        <w:tc>
          <w:tcPr>
            <w:tcW w:type="dxa" w:w="1440"/>
          </w:tcPr>
          <w:p>
            <w:r>
              <w:rPr>
                <w:rFonts w:ascii="Calibri" w:hAnsi="Calibri"/>
                <w:sz w:val="22"/>
              </w:rPr>
              <w:t>May 5, 2026</w:t>
            </w:r>
          </w:p>
        </w:tc>
        <w:tc>
          <w:tcPr>
            <w:tcW w:type="dxa" w:w="1440"/>
          </w:tcPr>
          <w:p>
            <w:r>
              <w:rPr>
                <w:rFonts w:ascii="Calibri" w:hAnsi="Calibri"/>
                <w:sz w:val="22"/>
              </w:rPr>
              <w:t>Routine annual director compensation grant; non-discretionary</w:t>
            </w:r>
          </w:p>
        </w:tc>
      </w:tr>
      <w:tr>
        <w:tc>
          <w:tcPr>
            <w:tcW w:type="dxa" w:w="1440"/>
          </w:tcPr>
          <w:p>
            <w:r>
              <w:rPr>
                <w:rFonts w:ascii="Calibri" w:hAnsi="Calibri"/>
                <w:sz w:val="22"/>
              </w:rPr>
              <w:t>Kington, Mark J.</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5,005</w:t>
            </w:r>
          </w:p>
        </w:tc>
        <w:tc>
          <w:tcPr>
            <w:tcW w:type="dxa" w:w="1440"/>
          </w:tcPr>
          <w:p>
            <w:r>
              <w:rPr>
                <w:rFonts w:ascii="Calibri" w:hAnsi="Calibri"/>
                <w:sz w:val="22"/>
              </w:rPr>
              <w:t>May 7, 2026</w:t>
            </w:r>
          </w:p>
        </w:tc>
        <w:tc>
          <w:tcPr>
            <w:tcW w:type="dxa" w:w="1440"/>
          </w:tcPr>
          <w:p>
            <w:r>
              <w:rPr>
                <w:rFonts w:ascii="Calibri" w:hAnsi="Calibri"/>
                <w:sz w:val="22"/>
              </w:rPr>
              <w:t>Routine annual director compensation grant; non-discretionary</w:t>
            </w:r>
          </w:p>
        </w:tc>
      </w:tr>
      <w:tr>
        <w:tc>
          <w:tcPr>
            <w:tcW w:type="dxa" w:w="1440"/>
          </w:tcPr>
          <w:p>
            <w:r>
              <w:rPr>
                <w:rFonts w:ascii="Calibri" w:hAnsi="Calibri"/>
                <w:sz w:val="22"/>
              </w:rPr>
              <w:t>Lovejoy, Kristin G.</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4,687</w:t>
            </w:r>
          </w:p>
        </w:tc>
        <w:tc>
          <w:tcPr>
            <w:tcW w:type="dxa" w:w="1440"/>
          </w:tcPr>
          <w:p>
            <w:r>
              <w:rPr>
                <w:rFonts w:ascii="Calibri" w:hAnsi="Calibri"/>
                <w:sz w:val="22"/>
              </w:rPr>
              <w:t>May 7, 2026</w:t>
            </w:r>
          </w:p>
        </w:tc>
        <w:tc>
          <w:tcPr>
            <w:tcW w:type="dxa" w:w="1440"/>
          </w:tcPr>
          <w:p>
            <w:r>
              <w:rPr>
                <w:rFonts w:ascii="Calibri" w:hAnsi="Calibri"/>
                <w:sz w:val="22"/>
              </w:rPr>
              <w:t>Routine annual director compensation grant; non-discretionary</w:t>
            </w:r>
          </w:p>
        </w:tc>
      </w:tr>
      <w:tr>
        <w:tc>
          <w:tcPr>
            <w:tcW w:type="dxa" w:w="1440"/>
          </w:tcPr>
          <w:p>
            <w:r>
              <w:rPr>
                <w:rFonts w:ascii="Calibri" w:hAnsi="Calibri"/>
                <w:sz w:val="22"/>
              </w:rPr>
              <w:t>Lyash, Jeffrey J.</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2,820</w:t>
            </w:r>
          </w:p>
        </w:tc>
        <w:tc>
          <w:tcPr>
            <w:tcW w:type="dxa" w:w="1440"/>
          </w:tcPr>
          <w:p>
            <w:r>
              <w:rPr>
                <w:rFonts w:ascii="Calibri" w:hAnsi="Calibri"/>
                <w:sz w:val="22"/>
              </w:rPr>
              <w:t>May 5, 2026</w:t>
            </w:r>
          </w:p>
        </w:tc>
        <w:tc>
          <w:tcPr>
            <w:tcW w:type="dxa" w:w="1440"/>
          </w:tcPr>
          <w:p>
            <w:r>
              <w:rPr>
                <w:rFonts w:ascii="Calibri" w:hAnsi="Calibri"/>
                <w:sz w:val="22"/>
              </w:rPr>
              <w:t>Routine annual director compensation grant; non-discretionary</w:t>
            </w:r>
          </w:p>
        </w:tc>
      </w:tr>
      <w:tr>
        <w:tc>
          <w:tcPr>
            <w:tcW w:type="dxa" w:w="1440"/>
          </w:tcPr>
          <w:p>
            <w:r>
              <w:rPr>
                <w:rFonts w:ascii="Calibri" w:hAnsi="Calibri"/>
                <w:sz w:val="22"/>
              </w:rPr>
              <w:t>Rigby, Joseph M.</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3,273</w:t>
            </w:r>
          </w:p>
        </w:tc>
        <w:tc>
          <w:tcPr>
            <w:tcW w:type="dxa" w:w="1440"/>
          </w:tcPr>
          <w:p>
            <w:r>
              <w:rPr>
                <w:rFonts w:ascii="Calibri" w:hAnsi="Calibri"/>
                <w:sz w:val="22"/>
              </w:rPr>
              <w:t>May 5, 2026</w:t>
            </w:r>
          </w:p>
        </w:tc>
        <w:tc>
          <w:tcPr>
            <w:tcW w:type="dxa" w:w="1440"/>
          </w:tcPr>
          <w:p>
            <w:r>
              <w:rPr>
                <w:rFonts w:ascii="Calibri" w:hAnsi="Calibri"/>
                <w:sz w:val="22"/>
              </w:rPr>
              <w:t>Routine annual director compensation grant; non-discretionary</w:t>
            </w:r>
          </w:p>
        </w:tc>
      </w:tr>
      <w:tr>
        <w:tc>
          <w:tcPr>
            <w:tcW w:type="dxa" w:w="1440"/>
          </w:tcPr>
          <w:p>
            <w:r>
              <w:rPr>
                <w:rFonts w:ascii="Calibri" w:hAnsi="Calibri"/>
                <w:sz w:val="22"/>
              </w:rPr>
              <w:t>Royal, Pamela J.</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2,820</w:t>
            </w:r>
          </w:p>
        </w:tc>
        <w:tc>
          <w:tcPr>
            <w:tcW w:type="dxa" w:w="1440"/>
          </w:tcPr>
          <w:p>
            <w:r>
              <w:rPr>
                <w:rFonts w:ascii="Calibri" w:hAnsi="Calibri"/>
                <w:sz w:val="22"/>
              </w:rPr>
              <w:t>May 5, 2026</w:t>
            </w:r>
          </w:p>
        </w:tc>
        <w:tc>
          <w:tcPr>
            <w:tcW w:type="dxa" w:w="1440"/>
          </w:tcPr>
          <w:p>
            <w:r>
              <w:rPr>
                <w:rFonts w:ascii="Calibri" w:hAnsi="Calibri"/>
                <w:sz w:val="22"/>
              </w:rPr>
              <w:t>Routine annual director compensation grant; non-discretionary</w:t>
            </w:r>
          </w:p>
        </w:tc>
      </w:tr>
      <w:tr>
        <w:tc>
          <w:tcPr>
            <w:tcW w:type="dxa" w:w="1440"/>
          </w:tcPr>
          <w:p>
            <w:r>
              <w:rPr>
                <w:rFonts w:ascii="Calibri" w:hAnsi="Calibri"/>
                <w:sz w:val="22"/>
              </w:rPr>
              <w:t>Spilman, Robert H. Jr.</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5,084</w:t>
            </w:r>
          </w:p>
        </w:tc>
        <w:tc>
          <w:tcPr>
            <w:tcW w:type="dxa" w:w="1440"/>
          </w:tcPr>
          <w:p>
            <w:r>
              <w:rPr>
                <w:rFonts w:ascii="Calibri" w:hAnsi="Calibri"/>
                <w:sz w:val="22"/>
              </w:rPr>
              <w:t>May 5, 2026</w:t>
            </w:r>
          </w:p>
        </w:tc>
        <w:tc>
          <w:tcPr>
            <w:tcW w:type="dxa" w:w="1440"/>
          </w:tcPr>
          <w:p>
            <w:r>
              <w:rPr>
                <w:rFonts w:ascii="Calibri" w:hAnsi="Calibri"/>
                <w:sz w:val="22"/>
              </w:rPr>
              <w:t>Routine annual director compensation grant; non-discretionary</w:t>
            </w:r>
          </w:p>
        </w:tc>
      </w:tr>
      <w:tr>
        <w:tc>
          <w:tcPr>
            <w:tcW w:type="dxa" w:w="1440"/>
          </w:tcPr>
          <w:p>
            <w:r>
              <w:rPr>
                <w:rFonts w:ascii="Calibri" w:hAnsi="Calibri"/>
                <w:sz w:val="22"/>
              </w:rPr>
              <w:t>Story, Susan N.</w:t>
            </w:r>
          </w:p>
        </w:tc>
        <w:tc>
          <w:tcPr>
            <w:tcW w:type="dxa" w:w="1440"/>
          </w:tcPr>
          <w:p>
            <w:r>
              <w:rPr>
                <w:rFonts w:ascii="Calibri" w:hAnsi="Calibri"/>
                <w:sz w:val="22"/>
              </w:rPr>
              <w:t>Director</w:t>
            </w:r>
          </w:p>
        </w:tc>
        <w:tc>
          <w:tcPr>
            <w:tcW w:type="dxa" w:w="1440"/>
          </w:tcPr>
          <w:p>
            <w:r>
              <w:rPr>
                <w:rFonts w:ascii="Calibri" w:hAnsi="Calibri"/>
                <w:sz w:val="22"/>
              </w:rPr>
              <w:t>Equity Award Grant (Code A) × 2</w:t>
            </w:r>
          </w:p>
        </w:tc>
        <w:tc>
          <w:tcPr>
            <w:tcW w:type="dxa" w:w="1440"/>
          </w:tcPr>
          <w:p>
            <w:r>
              <w:rPr>
                <w:rFonts w:ascii="Calibri" w:hAnsi="Calibri"/>
                <w:sz w:val="22"/>
              </w:rPr>
              <w:t>2,820 + 2,661</w:t>
            </w:r>
          </w:p>
        </w:tc>
        <w:tc>
          <w:tcPr>
            <w:tcW w:type="dxa" w:w="1440"/>
          </w:tcPr>
          <w:p>
            <w:r>
              <w:rPr>
                <w:rFonts w:ascii="Calibri" w:hAnsi="Calibri"/>
                <w:sz w:val="22"/>
              </w:rPr>
              <w:t>May 5, 2026</w:t>
            </w:r>
          </w:p>
        </w:tc>
        <w:tc>
          <w:tcPr>
            <w:tcW w:type="dxa" w:w="1440"/>
          </w:tcPr>
          <w:p>
            <w:r>
              <w:rPr>
                <w:rFonts w:ascii="Calibri" w:hAnsi="Calibri"/>
                <w:sz w:val="22"/>
              </w:rPr>
              <w:t>Two tranches (direct + trust); routine annual director compensation grant; non-discretionary</w:t>
            </w:r>
          </w:p>
        </w:tc>
      </w:tr>
      <w:tr>
        <w:tc>
          <w:tcPr>
            <w:tcW w:type="dxa" w:w="1440"/>
          </w:tcPr>
          <w:p>
            <w:r>
              <w:rPr>
                <w:rFonts w:ascii="Calibri" w:hAnsi="Calibri"/>
                <w:sz w:val="22"/>
              </w:rPr>
              <w:t>Sutherland, Vanessa Allen</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4,687</w:t>
            </w:r>
          </w:p>
        </w:tc>
        <w:tc>
          <w:tcPr>
            <w:tcW w:type="dxa" w:w="1440"/>
          </w:tcPr>
          <w:p>
            <w:r>
              <w:rPr>
                <w:rFonts w:ascii="Calibri" w:hAnsi="Calibri"/>
                <w:sz w:val="22"/>
              </w:rPr>
              <w:t>May 7, 2026</w:t>
            </w:r>
          </w:p>
        </w:tc>
        <w:tc>
          <w:tcPr>
            <w:tcW w:type="dxa" w:w="1440"/>
          </w:tcPr>
          <w:p>
            <w:r>
              <w:rPr>
                <w:rFonts w:ascii="Calibri" w:hAnsi="Calibri"/>
                <w:sz w:val="22"/>
              </w:rPr>
              <w:t>Routine annual director compensation grant; non-discretionary</w:t>
            </w:r>
          </w:p>
        </w:tc>
      </w:tr>
    </w:tbl>
    <w:p>
      <w:r>
        <w:rPr>
          <w:rFonts w:ascii="Calibri" w:hAnsi="Calibri"/>
          <w:color w:val="525866"/>
          <w:sz w:val="22"/>
        </w:rPr>
        <w:t>Source: SEC Form 4 Filings. All transactions are equity award grants (transaction code A = Acquisition via grant/award), not open-market purchases or sales. No open-market buys (code P) or sells (code S) were filed by any D insider in the period May 1 – July 30, 2026. The complete absence of discretionary selling by executives in the weeks surrounding the merger announcement (May 18) is consistent with insider trading restrictions that would have been in place during deal negotiations. No 10b5-1 plan initiations were identified in the period.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