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Dominion Energy (D)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Dominion Energy, Inc.</w:t>
            </w:r>
          </w:p>
        </w:tc>
        <w:tc>
          <w:tcPr>
            <w:tcW w:type="dxa" w:w="2160"/>
          </w:tcPr>
          <w:p>
            <w:r>
              <w:rPr>
                <w:rFonts w:ascii="Calibri" w:hAnsi="Calibri"/>
                <w:b/>
                <w:sz w:val="22"/>
              </w:rPr>
              <w:t>Ticker</w:t>
            </w:r>
          </w:p>
        </w:tc>
        <w:tc>
          <w:tcPr>
            <w:tcW w:type="dxa" w:w="2160"/>
          </w:tcPr>
          <w:p>
            <w:r>
              <w:rPr>
                <w:rFonts w:ascii="Calibri" w:hAnsi="Calibri"/>
                <w:sz w:val="22"/>
              </w:rPr>
              <w:t>D (NYSE)</w:t>
            </w:r>
          </w:p>
        </w:tc>
      </w:tr>
      <w:tr>
        <w:tc>
          <w:tcPr>
            <w:tcW w:type="dxa" w:w="2160"/>
          </w:tcPr>
          <w:p>
            <w:r>
              <w:rPr>
                <w:rFonts w:ascii="Calibri" w:hAnsi="Calibri"/>
                <w:b/>
                <w:sz w:val="22"/>
              </w:rPr>
              <w:t>Earnings Date</w:t>
            </w:r>
          </w:p>
        </w:tc>
        <w:tc>
          <w:tcPr>
            <w:tcW w:type="dxa" w:w="2160"/>
          </w:tcPr>
          <w:p>
            <w:r>
              <w:rPr>
                <w:rFonts w:ascii="Calibri" w:hAnsi="Calibri"/>
                <w:sz w:val="22"/>
              </w:rPr>
              <w:t>July 31, 2026 (11:00 AM ET)</w:t>
            </w:r>
          </w:p>
        </w:tc>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r>
      <w:tr>
        <w:tc>
          <w:tcPr>
            <w:tcW w:type="dxa" w:w="2160"/>
          </w:tcPr>
          <w:p>
            <w:r>
              <w:rPr>
                <w:rFonts w:ascii="Calibri" w:hAnsi="Calibri"/>
                <w:b/>
                <w:sz w:val="22"/>
              </w:rPr>
              <w:t>Prepared</w:t>
            </w:r>
          </w:p>
        </w:tc>
        <w:tc>
          <w:tcPr>
            <w:tcW w:type="dxa" w:w="2160"/>
          </w:tcPr>
          <w:p>
            <w:r>
              <w:rPr>
                <w:rFonts w:ascii="Calibri" w:hAnsi="Calibri"/>
                <w:sz w:val="22"/>
              </w:rPr>
              <w:t>July 30, 2026</w:t>
            </w:r>
          </w:p>
        </w:tc>
        <w:tc>
          <w:tcPr>
            <w:tcW w:type="dxa" w:w="2160"/>
          </w:tcPr>
          <w:p>
            <w:r>
              <w:rPr>
                <w:rFonts w:ascii="Calibri" w:hAnsi="Calibri"/>
                <w:b/>
                <w:sz w:val="22"/>
              </w:rPr>
              <w:t>Last Earnings</w:t>
            </w:r>
          </w:p>
        </w:tc>
        <w:tc>
          <w:tcPr>
            <w:tcW w:type="dxa" w:w="2160"/>
          </w:tcPr>
          <w:p>
            <w:r>
              <w:rPr>
                <w:rFonts w:ascii="Calibri" w:hAnsi="Calibri"/>
                <w:sz w:val="22"/>
              </w:rPr>
              <w:t>May 1,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modestly constructive — consensus has drifted lower since Q1 (Q2 operating EPS estimate fell from ~$0.85 to ~$0.66), creating a low bar, but the dominant narrative heading into the print is the </w:t>
      </w:r>
      <w:r>
        <w:rPr>
          <w:rFonts w:ascii="Calibri" w:hAnsi="Calibri"/>
          <w:b/>
          <w:color w:val="525866"/>
          <w:sz w:val="22"/>
        </w:rPr>
        <w:t>proposed NEE merger</w:t>
      </w:r>
      <w:r>
        <w:rPr>
          <w:rFonts w:ascii="Calibri" w:hAnsi="Calibri"/>
          <w:color w:val="525866"/>
          <w:sz w:val="22"/>
        </w:rPr>
        <w:t xml:space="preserve"> (announced May 18, 2026) and its regulatory timeline, not the quarterly numbers themselves.</w:t>
      </w:r>
    </w:p>
    <w:p>
      <w:r>
        <w:rPr>
          <w:rFonts w:ascii="Calibri" w:hAnsi="Calibri"/>
          <w:color w:val="525866"/>
          <w:sz w:val="22"/>
        </w:rPr>
        <w:t xml:space="preserve">Heading into Q2 2026 results, the bar for Dominion is undemanding: consensus operating EPS of approximately $0.66 sits well below the $0.75 reported in Q2 2025 and has been revised down sharply since Q1 earnings — a pattern that historically sets up a beat for a company with conservative guidance culture. Management affirmed full-year 2026 operating EPS guidance of $3.45–$3.69 (midpoint $3.57) on the May 1 call and has given no subsequent intra-quarter update, leaving the guidance/estimate gap as a potential source of upside. The stock has re-rated materially since the May 18 merger announcement with NextEra Energy — D is up roughly 9% since last earnings vs. XLU flat and SPY +3% — meaning the stock is pricing in deal optionality rather than pure fundamental execution, which compresses the typical earnings-day move. The single biggest wildcard is any update on the </w:t>
      </w:r>
      <w:r>
        <w:rPr>
          <w:rFonts w:ascii="Calibri" w:hAnsi="Calibri"/>
          <w:b/>
          <w:color w:val="525866"/>
          <w:sz w:val="22"/>
        </w:rPr>
        <w:t>CVOW project</w:t>
      </w:r>
      <w:r>
        <w:rPr>
          <w:rFonts w:ascii="Calibri" w:hAnsi="Calibri"/>
          <w:color w:val="525866"/>
          <w:sz w:val="22"/>
        </w:rPr>
        <w:t xml:space="preserve"> (now &gt;75% complete, budget at $11.4B with $123M unused contingency) and whether steel/aluminum tariff exposure (~$200M risk) has been further quantified or offset by PJM transmission cost reallocations — either direction could move the stock more than the EPS print itself.</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 bar</w:t>
      </w:r>
      <w:r>
        <w:rPr>
          <w:rFonts w:ascii="Calibri" w:hAnsi="Calibri"/>
          <w:color w:val="525866"/>
          <w:sz w:val="22"/>
        </w:rPr>
        <w:t xml:space="preserve"> on operating EPS ($0.66 vs. $0.75 prior year) after a sharp post-Q1 downward revision; revenue consensus of ~$4.09B is also below the $4.53B reported in Q3 2025, reflecting normal Q2 seasonality. Operating EPS is the bigger swing factor — any beat here, combined with CVOW and data center updates, drives the stock reaction.</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 vs. Guidance Mid</w:t>
            </w:r>
          </w:p>
        </w:tc>
      </w:tr>
      <w:tr>
        <w:tc>
          <w:tcPr>
            <w:tcW w:type="dxa" w:w="1234"/>
          </w:tcPr>
          <w:p>
            <w:r>
              <w:rPr>
                <w:rFonts w:ascii="Calibri" w:hAnsi="Calibri"/>
                <w:sz w:val="22"/>
              </w:rPr>
              <w:t>Operating EPS (Diluted)</w:t>
            </w:r>
          </w:p>
        </w:tc>
        <w:tc>
          <w:tcPr>
            <w:tcW w:type="dxa" w:w="1234"/>
          </w:tcPr>
          <w:p>
            <w:r>
              <w:rPr>
                <w:rFonts w:ascii="Calibri" w:hAnsi="Calibri"/>
                <w:sz w:val="22"/>
              </w:rPr>
              <w:t>$0.95</w:t>
            </w:r>
          </w:p>
        </w:tc>
        <w:tc>
          <w:tcPr>
            <w:tcW w:type="dxa" w:w="1234"/>
          </w:tcPr>
          <w:p>
            <w:r>
              <w:rPr>
                <w:rFonts w:ascii="Calibri" w:hAnsi="Calibri"/>
                <w:sz w:val="22"/>
              </w:rPr>
              <w:t>$0.75</w:t>
            </w:r>
          </w:p>
        </w:tc>
        <w:tc>
          <w:tcPr>
            <w:tcW w:type="dxa" w:w="1234"/>
          </w:tcPr>
          <w:p>
            <w:r>
              <w:rPr>
                <w:rFonts w:ascii="Calibri" w:hAnsi="Calibri"/>
                <w:sz w:val="22"/>
              </w:rPr>
              <w:t>$0.66</w:t>
            </w:r>
          </w:p>
        </w:tc>
        <w:tc>
          <w:tcPr>
            <w:tcW w:type="dxa" w:w="1234"/>
          </w:tcPr>
          <w:p>
            <w:r>
              <w:rPr>
                <w:rFonts w:ascii="Calibri" w:hAnsi="Calibri"/>
                <w:b/>
                <w:color w:val="E5484D"/>
                <w:sz w:val="22"/>
              </w:rPr>
              <w:t>−12.0%</w:t>
            </w:r>
          </w:p>
        </w:tc>
        <w:tc>
          <w:tcPr>
            <w:tcW w:type="dxa" w:w="1234"/>
          </w:tcPr>
          <w:p>
            <w:r>
              <w:rPr>
                <w:rFonts w:ascii="Calibri" w:hAnsi="Calibri"/>
                <w:sz w:val="22"/>
              </w:rPr>
              <w:t>$3.45–$3.69 ($3.57 mid)</w:t>
            </w:r>
          </w:p>
        </w:tc>
        <w:tc>
          <w:tcPr>
            <w:tcW w:type="dxa" w:w="1234"/>
          </w:tcPr>
          <w:p>
            <w:r>
              <w:rPr>
                <w:rFonts w:ascii="Calibri" w:hAnsi="Calibri"/>
                <w:sz w:val="22"/>
              </w:rPr>
              <w:t>Q2 cons. implies ~18.5% of FY mid; no Q2-specific guidance provided</w:t>
            </w:r>
          </w:p>
        </w:tc>
      </w:tr>
      <w:tr>
        <w:tc>
          <w:tcPr>
            <w:tcW w:type="dxa" w:w="1234"/>
          </w:tcPr>
          <w:p>
            <w:r>
              <w:rPr>
                <w:rFonts w:ascii="Calibri" w:hAnsi="Calibri"/>
                <w:sz w:val="22"/>
              </w:rPr>
              <w:t>Total Revenue</w:t>
            </w:r>
          </w:p>
        </w:tc>
        <w:tc>
          <w:tcPr>
            <w:tcW w:type="dxa" w:w="1234"/>
          </w:tcPr>
          <w:p>
            <w:r>
              <w:rPr>
                <w:rFonts w:ascii="Calibri" w:hAnsi="Calibri"/>
                <w:sz w:val="22"/>
              </w:rPr>
              <w:t>$5.019B</w:t>
            </w:r>
          </w:p>
        </w:tc>
        <w:tc>
          <w:tcPr>
            <w:tcW w:type="dxa" w:w="1234"/>
          </w:tcPr>
          <w:p>
            <w:r>
              <w:rPr>
                <w:rFonts w:ascii="Calibri" w:hAnsi="Calibri"/>
                <w:sz w:val="22"/>
              </w:rPr>
              <w:t>$3.810B</w:t>
            </w:r>
          </w:p>
        </w:tc>
        <w:tc>
          <w:tcPr>
            <w:tcW w:type="dxa" w:w="1234"/>
          </w:tcPr>
          <w:p>
            <w:r>
              <w:rPr>
                <w:rFonts w:ascii="Calibri" w:hAnsi="Calibri"/>
                <w:sz w:val="22"/>
              </w:rPr>
              <w:t>$4.093B</w:t>
            </w:r>
          </w:p>
        </w:tc>
        <w:tc>
          <w:tcPr>
            <w:tcW w:type="dxa" w:w="1234"/>
          </w:tcPr>
          <w:p>
            <w:r>
              <w:rPr>
                <w:rFonts w:ascii="Calibri" w:hAnsi="Calibri"/>
                <w:b/>
                <w:color w:val="30A46C"/>
                <w:sz w:val="22"/>
              </w:rPr>
              <w:t>+7.4%</w:t>
            </w:r>
          </w:p>
        </w:tc>
        <w:tc>
          <w:tcPr>
            <w:tcW w:type="dxa" w:w="1234"/>
          </w:tcPr>
          <w:p>
            <w:r>
              <w:rPr>
                <w:rFonts w:ascii="Calibri" w:hAnsi="Calibri"/>
                <w:sz w:val="22"/>
              </w:rPr>
              <w:t>No specific quarterly revenue guidance</w:t>
            </w:r>
          </w:p>
        </w:tc>
        <w:tc>
          <w:tcPr>
            <w:tcW w:type="dxa" w:w="1234"/>
          </w:tcPr>
          <w:p>
            <w:r>
              <w:rPr>
                <w:rFonts w:ascii="Calibri" w:hAnsi="Calibri"/>
                <w:sz w:val="22"/>
              </w:rPr>
              <w:t>N/A — no quarterly guidance</w:t>
            </w:r>
          </w:p>
        </w:tc>
      </w:tr>
      <w:tr>
        <w:tc>
          <w:tcPr>
            <w:tcW w:type="dxa" w:w="1234"/>
          </w:tcPr>
          <w:p>
            <w:r>
              <w:rPr>
                <w:rFonts w:ascii="Calibri" w:hAnsi="Calibri"/>
                <w:sz w:val="22"/>
              </w:rPr>
              <w:t>Funds from Operations (FFO)</w:t>
            </w:r>
          </w:p>
        </w:tc>
        <w:tc>
          <w:tcPr>
            <w:tcW w:type="dxa" w:w="1234"/>
          </w:tcPr>
          <w:p>
            <w:r>
              <w:rPr>
                <w:rFonts w:ascii="Calibri" w:hAnsi="Calibri"/>
                <w:sz w:val="22"/>
              </w:rPr>
              <w:t>$1.728B</w:t>
            </w:r>
          </w:p>
        </w:tc>
        <w:tc>
          <w:tcPr>
            <w:tcW w:type="dxa" w:w="1234"/>
          </w:tcPr>
          <w:p>
            <w:r>
              <w:rPr>
                <w:rFonts w:ascii="Calibri" w:hAnsi="Calibri"/>
                <w:sz w:val="22"/>
              </w:rPr>
              <w:t>$1.333B</w:t>
            </w:r>
          </w:p>
        </w:tc>
        <w:tc>
          <w:tcPr>
            <w:tcW w:type="dxa" w:w="1234"/>
          </w:tcPr>
          <w:p>
            <w:r>
              <w:rPr>
                <w:rFonts w:ascii="Calibri" w:hAnsi="Calibri"/>
                <w:sz w:val="22"/>
              </w:rPr>
              <w:t>$1.422B</w:t>
            </w:r>
          </w:p>
        </w:tc>
        <w:tc>
          <w:tcPr>
            <w:tcW w:type="dxa" w:w="1234"/>
          </w:tcPr>
          <w:p>
            <w:r>
              <w:rPr>
                <w:rFonts w:ascii="Calibri" w:hAnsi="Calibri"/>
                <w:b/>
                <w:color w:val="30A46C"/>
                <w:sz w:val="22"/>
              </w:rPr>
              <w:t>+6.7%</w:t>
            </w:r>
          </w:p>
        </w:tc>
        <w:tc>
          <w:tcPr>
            <w:tcW w:type="dxa" w:w="1234"/>
          </w:tcPr>
          <w:p>
            <w:r>
              <w:rPr>
                <w:rFonts w:ascii="Calibri" w:hAnsi="Calibri"/>
                <w:sz w:val="22"/>
              </w:rPr>
              <w:t>FFO/Debt target: &gt;15%</w:t>
            </w:r>
          </w:p>
        </w:tc>
        <w:tc>
          <w:tcPr>
            <w:tcW w:type="dxa" w:w="1234"/>
          </w:tcPr>
          <w:p>
            <w:r>
              <w:rPr>
                <w:rFonts w:ascii="Calibri" w:hAnsi="Calibri"/>
                <w:sz w:val="22"/>
              </w:rPr>
              <w:t>N/A — no quarterly guidance</w:t>
            </w:r>
          </w:p>
        </w:tc>
      </w:tr>
      <w:tr>
        <w:tc>
          <w:tcPr>
            <w:tcW w:type="dxa" w:w="1234"/>
          </w:tcPr>
          <w:p>
            <w:r>
              <w:rPr>
                <w:rFonts w:ascii="Calibri" w:hAnsi="Calibri"/>
                <w:sz w:val="22"/>
              </w:rPr>
              <w:t>Capital Additions (CapEx)</w:t>
            </w:r>
          </w:p>
        </w:tc>
        <w:tc>
          <w:tcPr>
            <w:tcW w:type="dxa" w:w="1234"/>
          </w:tcPr>
          <w:p>
            <w:r>
              <w:rPr>
                <w:rFonts w:ascii="Calibri" w:hAnsi="Calibri"/>
                <w:sz w:val="22"/>
              </w:rPr>
              <w:t>$3.023B</w:t>
            </w:r>
          </w:p>
        </w:tc>
        <w:tc>
          <w:tcPr>
            <w:tcW w:type="dxa" w:w="1234"/>
          </w:tcPr>
          <w:p>
            <w:r>
              <w:rPr>
                <w:rFonts w:ascii="Calibri" w:hAnsi="Calibri"/>
                <w:sz w:val="22"/>
              </w:rPr>
              <w:t>$3.003B</w:t>
            </w:r>
          </w:p>
        </w:tc>
        <w:tc>
          <w:tcPr>
            <w:tcW w:type="dxa" w:w="1234"/>
          </w:tcPr>
          <w:p>
            <w:r>
              <w:rPr>
                <w:rFonts w:ascii="Calibri" w:hAnsi="Calibri"/>
                <w:sz w:val="22"/>
              </w:rPr>
              <w:t>$2.689B</w:t>
            </w:r>
          </w:p>
        </w:tc>
        <w:tc>
          <w:tcPr>
            <w:tcW w:type="dxa" w:w="1234"/>
          </w:tcPr>
          <w:p>
            <w:r>
              <w:rPr>
                <w:rFonts w:ascii="Calibri" w:hAnsi="Calibri"/>
                <w:sz w:val="22"/>
              </w:rPr>
              <w:t>−10.5%</w:t>
            </w:r>
          </w:p>
        </w:tc>
        <w:tc>
          <w:tcPr>
            <w:tcW w:type="dxa" w:w="1234"/>
          </w:tcPr>
          <w:p>
            <w:r>
              <w:rPr>
                <w:rFonts w:ascii="Calibri" w:hAnsi="Calibri"/>
                <w:sz w:val="22"/>
              </w:rPr>
              <w:t>~$10.9B FY 2026 (consensus)</w:t>
            </w:r>
          </w:p>
        </w:tc>
        <w:tc>
          <w:tcPr>
            <w:tcW w:type="dxa" w:w="1234"/>
          </w:tcPr>
          <w:p>
            <w:r>
              <w:rPr>
                <w:rFonts w:ascii="Calibri" w:hAnsi="Calibri"/>
                <w:sz w:val="22"/>
              </w:rPr>
              <w:t>N/A — no quarterly guidance</w:t>
            </w:r>
          </w:p>
        </w:tc>
      </w:tr>
      <w:tr>
        <w:tc>
          <w:tcPr>
            <w:tcW w:type="dxa" w:w="1234"/>
          </w:tcPr>
          <w:p>
            <w:r>
              <w:rPr>
                <w:rFonts w:ascii="Calibri" w:hAnsi="Calibri"/>
                <w:sz w:val="22"/>
              </w:rPr>
              <w:t>FFO / Total Debt</w:t>
            </w:r>
          </w:p>
        </w:tc>
        <w:tc>
          <w:tcPr>
            <w:tcW w:type="dxa" w:w="1234"/>
          </w:tcPr>
          <w:p>
            <w:r>
              <w:rPr>
                <w:rFonts w:ascii="Calibri" w:hAnsi="Calibri"/>
                <w:sz w:val="22"/>
              </w:rPr>
              <w:t>&gt;15% (LTM, confirmed Q1 call)</w:t>
            </w:r>
          </w:p>
        </w:tc>
        <w:tc>
          <w:tcPr>
            <w:tcW w:type="dxa" w:w="1234"/>
          </w:tcPr>
          <w:p>
            <w:r>
              <w:rPr>
                <w:rFonts w:ascii="Calibri" w:hAnsi="Calibri"/>
                <w:sz w:val="22"/>
              </w:rPr>
              <w:t>N/A (quarterly)</w:t>
            </w:r>
          </w:p>
        </w:tc>
        <w:tc>
          <w:tcPr>
            <w:tcW w:type="dxa" w:w="1234"/>
          </w:tcPr>
          <w:p>
            <w:r>
              <w:rPr>
                <w:rFonts w:ascii="Calibri" w:hAnsi="Calibri"/>
                <w:sz w:val="22"/>
              </w:rPr>
              <w:t>~12.7% (FY 2026 consensus)</w:t>
            </w:r>
          </w:p>
        </w:tc>
        <w:tc>
          <w:tcPr>
            <w:tcW w:type="dxa" w:w="1234"/>
          </w:tcPr>
          <w:p>
            <w:r>
              <w:rPr>
                <w:rFonts w:ascii="Calibri" w:hAnsi="Calibri"/>
                <w:sz w:val="22"/>
              </w:rPr>
              <w:t>N/A</w:t>
            </w:r>
          </w:p>
        </w:tc>
        <w:tc>
          <w:tcPr>
            <w:tcW w:type="dxa" w:w="1234"/>
          </w:tcPr>
          <w:p>
            <w:r>
              <w:rPr>
                <w:rFonts w:ascii="Calibri" w:hAnsi="Calibri"/>
                <w:sz w:val="22"/>
              </w:rPr>
              <w:t>&gt;15% target (management)</w:t>
            </w:r>
          </w:p>
        </w:tc>
        <w:tc>
          <w:tcPr>
            <w:tcW w:type="dxa" w:w="1234"/>
          </w:tcPr>
          <w:p>
            <w:r>
              <w:rPr>
                <w:rFonts w:ascii="Calibri" w:hAnsi="Calibri"/>
                <w:sz w:val="22"/>
              </w:rPr>
              <w:t>Consensus below target; watch LTM commentary</w:t>
            </w:r>
          </w:p>
        </w:tc>
      </w:tr>
    </w:tbl>
    <w:p>
      <w:r>
        <w:rPr>
          <w:rFonts w:ascii="Calibri" w:hAnsi="Calibri"/>
          <w:i/>
          <w:color w:val="525866"/>
          <w:sz w:val="22"/>
        </w:rPr>
        <w:t xml:space="preserve">Sources: </w:t>
      </w:r>
      <w:r>
        <w:rPr>
          <w:rFonts w:ascii="Calibri" w:hAnsi="Calibri"/>
          <w:i/>
          <w:color w:val="525866"/>
          <w:sz w:val="22"/>
        </w:rPr>
        <w:t>Visible Alpha Consensus and Actuals Data (EPS, Revenue, FFO, CapEx); Q1 2026 Earnings Release and Transcript (May 1, 2026) for guidance and LTM FFO/Debt confirmation.</w:t>
      </w:r>
    </w:p>
    <w:p>
      <w:pPr>
        <w:pStyle w:val="Heading3"/>
      </w:pPr>
      <w:r>
        <w:rPr>
          <w:rFonts w:ascii="Calibri" w:hAnsi="Calibri"/>
          <w:b/>
          <w:color w:val="3B4259"/>
          <w:sz w:val="24"/>
        </w:rPr>
        <w:t>Table 2 — Operating EPS Beat/Miss History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EPS</w:t>
            </w:r>
          </w:p>
        </w:tc>
        <w:tc>
          <w:tcPr>
            <w:tcW w:type="dxa" w:w="1728"/>
            <w:shd w:val="clear" w:color="auto" w:fill="3B4259"/>
          </w:tcPr>
          <w:p>
            <w:r>
              <w:rPr>
                <w:rFonts w:ascii="Calibri" w:hAnsi="Calibri"/>
                <w:b/>
                <w:color w:val="FFFFFF"/>
                <w:sz w:val="22"/>
              </w:rPr>
              <w:t>Consensus Est.</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$0.98</w:t>
            </w:r>
          </w:p>
        </w:tc>
        <w:tc>
          <w:tcPr>
            <w:tcW w:type="dxa" w:w="1728"/>
          </w:tcPr>
          <w:p>
            <w:r>
              <w:rPr>
                <w:rFonts w:ascii="Calibri" w:hAnsi="Calibri"/>
                <w:sz w:val="22"/>
              </w:rPr>
              <w:t>$0.926</w:t>
            </w:r>
          </w:p>
        </w:tc>
        <w:tc>
          <w:tcPr>
            <w:tcW w:type="dxa" w:w="1728"/>
          </w:tcPr>
          <w:p>
            <w:r>
              <w:rPr>
                <w:rFonts w:ascii="Calibri" w:hAnsi="Calibri"/>
                <w:b/>
                <w:color w:val="30A46C"/>
                <w:sz w:val="22"/>
              </w:rPr>
              <w:t>+5.8%</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$0.58</w:t>
            </w:r>
          </w:p>
        </w:tc>
        <w:tc>
          <w:tcPr>
            <w:tcW w:type="dxa" w:w="1728"/>
          </w:tcPr>
          <w:p>
            <w:r>
              <w:rPr>
                <w:rFonts w:ascii="Calibri" w:hAnsi="Calibri"/>
                <w:sz w:val="22"/>
              </w:rPr>
              <w:t>$0.549</w:t>
            </w:r>
          </w:p>
        </w:tc>
        <w:tc>
          <w:tcPr>
            <w:tcW w:type="dxa" w:w="1728"/>
          </w:tcPr>
          <w:p>
            <w:r>
              <w:rPr>
                <w:rFonts w:ascii="Calibri" w:hAnsi="Calibri"/>
                <w:b/>
                <w:color w:val="30A46C"/>
                <w:sz w:val="22"/>
              </w:rPr>
              <w:t>+5.6%</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$0.942</w:t>
            </w:r>
          </w:p>
        </w:tc>
        <w:tc>
          <w:tcPr>
            <w:tcW w:type="dxa" w:w="1728"/>
          </w:tcPr>
          <w:p>
            <w:r>
              <w:rPr>
                <w:rFonts w:ascii="Calibri" w:hAnsi="Calibri"/>
                <w:sz w:val="22"/>
              </w:rPr>
              <w:t>$0.736</w:t>
            </w:r>
          </w:p>
        </w:tc>
        <w:tc>
          <w:tcPr>
            <w:tcW w:type="dxa" w:w="1728"/>
          </w:tcPr>
          <w:p>
            <w:r>
              <w:rPr>
                <w:rFonts w:ascii="Calibri" w:hAnsi="Calibri"/>
                <w:b/>
                <w:color w:val="30A46C"/>
                <w:sz w:val="22"/>
              </w:rPr>
              <w:t>+27.9%</w:t>
            </w:r>
          </w:p>
        </w:tc>
        <w:tc>
          <w:tcPr>
            <w:tcW w:type="dxa" w:w="1728"/>
          </w:tcPr>
          <w:p>
            <w:r>
              <w:rPr>
                <w:rFonts w:ascii="Calibri" w:hAnsi="Calibri"/>
                <w:sz w:val="22"/>
              </w:rPr>
              <w:t>Large Beat</w:t>
            </w:r>
          </w:p>
        </w:tc>
      </w:tr>
      <w:tr>
        <w:tc>
          <w:tcPr>
            <w:tcW w:type="dxa" w:w="1728"/>
          </w:tcPr>
          <w:p>
            <w:r>
              <w:rPr>
                <w:rFonts w:ascii="Calibri" w:hAnsi="Calibri"/>
                <w:sz w:val="22"/>
              </w:rPr>
              <w:t>Q2 2025</w:t>
            </w:r>
          </w:p>
        </w:tc>
        <w:tc>
          <w:tcPr>
            <w:tcW w:type="dxa" w:w="1728"/>
          </w:tcPr>
          <w:p>
            <w:r>
              <w:rPr>
                <w:rFonts w:ascii="Calibri" w:hAnsi="Calibri"/>
                <w:sz w:val="22"/>
              </w:rPr>
              <w:t>$0.75</w:t>
            </w:r>
          </w:p>
        </w:tc>
        <w:tc>
          <w:tcPr>
            <w:tcW w:type="dxa" w:w="1728"/>
          </w:tcPr>
          <w:p>
            <w:r>
              <w:rPr>
                <w:rFonts w:ascii="Calibri" w:hAnsi="Calibri"/>
                <w:sz w:val="22"/>
              </w:rPr>
              <w:t>$0.669</w:t>
            </w:r>
          </w:p>
        </w:tc>
        <w:tc>
          <w:tcPr>
            <w:tcW w:type="dxa" w:w="1728"/>
          </w:tcPr>
          <w:p>
            <w:r>
              <w:rPr>
                <w:rFonts w:ascii="Calibri" w:hAnsi="Calibri"/>
                <w:b/>
                <w:color w:val="30A46C"/>
                <w:sz w:val="22"/>
              </w:rPr>
              <w:t>+12.1%</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$1.06</w:t>
            </w:r>
          </w:p>
        </w:tc>
        <w:tc>
          <w:tcPr>
            <w:tcW w:type="dxa" w:w="1728"/>
          </w:tcPr>
          <w:p>
            <w:r>
              <w:rPr>
                <w:rFonts w:ascii="Calibri" w:hAnsi="Calibri"/>
                <w:sz w:val="22"/>
              </w:rPr>
              <w:t>$0.959</w:t>
            </w:r>
          </w:p>
        </w:tc>
        <w:tc>
          <w:tcPr>
            <w:tcW w:type="dxa" w:w="1728"/>
          </w:tcPr>
          <w:p>
            <w:r>
              <w:rPr>
                <w:rFonts w:ascii="Calibri" w:hAnsi="Calibri"/>
                <w:b/>
                <w:color w:val="30A46C"/>
                <w:sz w:val="22"/>
              </w:rPr>
              <w:t>+10.5%</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$0.68</w:t>
            </w:r>
          </w:p>
        </w:tc>
        <w:tc>
          <w:tcPr>
            <w:tcW w:type="dxa" w:w="1728"/>
          </w:tcPr>
          <w:p>
            <w:r>
              <w:rPr>
                <w:rFonts w:ascii="Calibri" w:hAnsi="Calibri"/>
                <w:sz w:val="22"/>
              </w:rPr>
              <w:t>$0.676</w:t>
            </w:r>
          </w:p>
        </w:tc>
        <w:tc>
          <w:tcPr>
            <w:tcW w:type="dxa" w:w="1728"/>
          </w:tcPr>
          <w:p>
            <w:r>
              <w:rPr>
                <w:rFonts w:ascii="Calibri" w:hAnsi="Calibri"/>
                <w:sz w:val="22"/>
              </w:rPr>
              <w:t>+0.6%</w:t>
            </w:r>
          </w:p>
        </w:tc>
        <w:tc>
          <w:tcPr>
            <w:tcW w:type="dxa" w:w="1728"/>
          </w:tcPr>
          <w:p>
            <w:r>
              <w:rPr>
                <w:rFonts w:ascii="Calibri" w:hAnsi="Calibri"/>
                <w:sz w:val="22"/>
              </w:rPr>
              <w:t>In-Line</w:t>
            </w:r>
          </w:p>
        </w:tc>
      </w:tr>
      <w:tr>
        <w:tc>
          <w:tcPr>
            <w:tcW w:type="dxa" w:w="1728"/>
          </w:tcPr>
          <w:p>
            <w:r>
              <w:rPr>
                <w:rFonts w:ascii="Calibri" w:hAnsi="Calibri"/>
                <w:sz w:val="22"/>
              </w:rPr>
              <w:t>Q1 2026</w:t>
            </w:r>
          </w:p>
        </w:tc>
        <w:tc>
          <w:tcPr>
            <w:tcW w:type="dxa" w:w="1728"/>
          </w:tcPr>
          <w:p>
            <w:r>
              <w:rPr>
                <w:rFonts w:ascii="Calibri" w:hAnsi="Calibri"/>
                <w:sz w:val="22"/>
              </w:rPr>
              <w:t>$0.950</w:t>
            </w:r>
          </w:p>
        </w:tc>
        <w:tc>
          <w:tcPr>
            <w:tcW w:type="dxa" w:w="1728"/>
          </w:tcPr>
          <w:p>
            <w:r>
              <w:rPr>
                <w:rFonts w:ascii="Calibri" w:hAnsi="Calibri"/>
                <w:sz w:val="22"/>
              </w:rPr>
              <w:t>$0.903</w:t>
            </w:r>
          </w:p>
        </w:tc>
        <w:tc>
          <w:tcPr>
            <w:tcW w:type="dxa" w:w="1728"/>
          </w:tcPr>
          <w:p>
            <w:r>
              <w:rPr>
                <w:rFonts w:ascii="Calibri" w:hAnsi="Calibri"/>
                <w:b/>
                <w:color w:val="30A46C"/>
                <w:sz w:val="22"/>
              </w:rPr>
              <w:t>+5.2%</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Dominion has beaten operating EPS consensus in 6 of the last 7 reported quarters (with one in-line), with an average beat of ~9% — a consistent track record of conservative guidance that sets a low bar heading into Q2 2026.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No formal guidance revision since the May 1 Q1 2026 earnings call — full-year operating EPS range of $3.45–$3.69 remains intact. The dominant post-earnings development is the </w:t>
      </w:r>
      <w:r>
        <w:rPr>
          <w:rFonts w:ascii="Calibri" w:hAnsi="Calibri"/>
          <w:b/>
          <w:color w:val="525866"/>
          <w:sz w:val="22"/>
        </w:rPr>
        <w:t>May 18 merger agreement with NextEra Energy</w:t>
      </w:r>
      <w:r>
        <w:rPr>
          <w:rFonts w:ascii="Calibri" w:hAnsi="Calibri"/>
          <w:color w:val="525866"/>
          <w:sz w:val="22"/>
        </w:rPr>
        <w:t>, which supersedes near-term guidance as the primary investor focus; the June 16 junior subordinated notes issuance ($1.5B) is the only other material capital action.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May 1)</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Operating EPS</w:t>
            </w:r>
          </w:p>
        </w:tc>
        <w:tc>
          <w:tcPr>
            <w:tcW w:type="dxa" w:w="1728"/>
          </w:tcPr>
          <w:p>
            <w:r>
              <w:rPr>
                <w:rFonts w:ascii="Calibri" w:hAnsi="Calibri"/>
                <w:sz w:val="22"/>
              </w:rPr>
              <w:t>$3.45–$3.69 ($3.57 mid)</w:t>
            </w:r>
          </w:p>
        </w:tc>
        <w:tc>
          <w:tcPr>
            <w:tcW w:type="dxa" w:w="1728"/>
          </w:tcPr>
          <w:p>
            <w:r>
              <w:rPr>
                <w:rFonts w:ascii="Calibri" w:hAnsi="Calibri"/>
                <w:sz w:val="22"/>
              </w:rPr>
              <w:t>— Unchanged</w:t>
            </w:r>
          </w:p>
        </w:tc>
        <w:tc>
          <w:tcPr>
            <w:tcW w:type="dxa" w:w="1728"/>
          </w:tcPr>
          <w:p>
            <w:r>
              <w:rPr>
                <w:rFonts w:ascii="Calibri" w:hAnsi="Calibri"/>
                <w:sz w:val="22"/>
              </w:rPr>
              <w:t>$3.56</w:t>
            </w:r>
          </w:p>
        </w:tc>
        <w:tc>
          <w:tcPr>
            <w:tcW w:type="dxa" w:w="1728"/>
          </w:tcPr>
          <w:p>
            <w:r>
              <w:rPr>
                <w:rFonts w:ascii="Calibri" w:hAnsi="Calibri"/>
                <w:sz w:val="22"/>
              </w:rPr>
              <w:t>Consensus sits just below midpoint; no post-earnings revision to guidance</w:t>
            </w:r>
          </w:p>
        </w:tc>
      </w:tr>
      <w:tr>
        <w:tc>
          <w:tcPr>
            <w:tcW w:type="dxa" w:w="1728"/>
          </w:tcPr>
          <w:p>
            <w:r>
              <w:rPr>
                <w:rFonts w:ascii="Calibri" w:hAnsi="Calibri"/>
                <w:sz w:val="22"/>
              </w:rPr>
              <w:t>Long-Term EPS Growth</w:t>
            </w:r>
          </w:p>
        </w:tc>
        <w:tc>
          <w:tcPr>
            <w:tcW w:type="dxa" w:w="1728"/>
          </w:tcPr>
          <w:p>
            <w:r>
              <w:rPr>
                <w:rFonts w:ascii="Calibri" w:hAnsi="Calibri"/>
                <w:sz w:val="22"/>
              </w:rPr>
              <w:t>5%–7% CAGR off 2025 base; bias toward upper half starting 2028</w:t>
            </w:r>
          </w:p>
        </w:tc>
        <w:tc>
          <w:tcPr>
            <w:tcW w:type="dxa" w:w="1728"/>
          </w:tcPr>
          <w:p>
            <w:r>
              <w:rPr>
                <w:rFonts w:ascii="Calibri" w:hAnsi="Calibri"/>
                <w:sz w:val="22"/>
              </w:rPr>
              <w:t>— Unchanged</w:t>
            </w:r>
          </w:p>
        </w:tc>
        <w:tc>
          <w:tcPr>
            <w:tcW w:type="dxa" w:w="1728"/>
          </w:tcPr>
          <w:p>
            <w:r>
              <w:rPr>
                <w:rFonts w:ascii="Calibri" w:hAnsi="Calibri"/>
                <w:sz w:val="22"/>
              </w:rPr>
              <w:t>~6% implied (FY27 cons. $3.82 vs. FY26 $3.56)</w:t>
            </w:r>
          </w:p>
        </w:tc>
        <w:tc>
          <w:tcPr>
            <w:tcW w:type="dxa" w:w="1728"/>
          </w:tcPr>
          <w:p>
            <w:r>
              <w:rPr>
                <w:rFonts w:ascii="Calibri" w:hAnsi="Calibri"/>
                <w:sz w:val="22"/>
              </w:rPr>
              <w:t>Merger with NEE (if closed H2 2027) would supersede standalone growth guidance</w:t>
            </w:r>
          </w:p>
        </w:tc>
      </w:tr>
      <w:tr>
        <w:tc>
          <w:tcPr>
            <w:tcW w:type="dxa" w:w="1728"/>
          </w:tcPr>
          <w:p>
            <w:r>
              <w:rPr>
                <w:rFonts w:ascii="Calibri" w:hAnsi="Calibri"/>
                <w:sz w:val="22"/>
              </w:rPr>
              <w:t>FFO / Total Debt</w:t>
            </w:r>
          </w:p>
        </w:tc>
        <w:tc>
          <w:tcPr>
            <w:tcW w:type="dxa" w:w="1728"/>
          </w:tcPr>
          <w:p>
            <w:r>
              <w:rPr>
                <w:rFonts w:ascii="Calibri" w:hAnsi="Calibri"/>
                <w:sz w:val="22"/>
              </w:rPr>
              <w:t>&gt;15% target; FY2025 and Q1 LTM both above 15%</w:t>
            </w:r>
          </w:p>
        </w:tc>
        <w:tc>
          <w:tcPr>
            <w:tcW w:type="dxa" w:w="1728"/>
          </w:tcPr>
          <w:p>
            <w:r>
              <w:rPr>
                <w:rFonts w:ascii="Calibri" w:hAnsi="Calibri"/>
                <w:sz w:val="22"/>
              </w:rPr>
              <w:t>— Unchanged</w:t>
            </w:r>
          </w:p>
        </w:tc>
        <w:tc>
          <w:tcPr>
            <w:tcW w:type="dxa" w:w="1728"/>
          </w:tcPr>
          <w:p>
            <w:r>
              <w:rPr>
                <w:rFonts w:ascii="Calibri" w:hAnsi="Calibri"/>
                <w:sz w:val="22"/>
              </w:rPr>
              <w:t>~12.7% FY2026 (VA consensus)</w:t>
            </w:r>
          </w:p>
        </w:tc>
        <w:tc>
          <w:tcPr>
            <w:tcW w:type="dxa" w:w="1728"/>
          </w:tcPr>
          <w:p>
            <w:r>
              <w:rPr>
                <w:rFonts w:ascii="Calibri" w:hAnsi="Calibri"/>
                <w:sz w:val="22"/>
              </w:rPr>
              <w:t>Consensus below management target; watch LTM commentary on call</w:t>
            </w:r>
          </w:p>
        </w:tc>
      </w:tr>
      <w:tr>
        <w:tc>
          <w:tcPr>
            <w:tcW w:type="dxa" w:w="1728"/>
          </w:tcPr>
          <w:p>
            <w:r>
              <w:rPr>
                <w:rFonts w:ascii="Calibri" w:hAnsi="Calibri"/>
                <w:sz w:val="22"/>
              </w:rPr>
              <w:t>ATM Equity Issuance</w:t>
            </w:r>
          </w:p>
        </w:tc>
        <w:tc>
          <w:tcPr>
            <w:tcW w:type="dxa" w:w="1728"/>
          </w:tcPr>
          <w:p>
            <w:r>
              <w:rPr>
                <w:rFonts w:ascii="Calibri" w:hAnsi="Calibri"/>
                <w:sz w:val="22"/>
              </w:rPr>
              <w:t>$400M–$600M remaining for rest of 2026 (after ~$1.2B YTD at Q1)</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June 16: $1.5B junior subordinated notes issued (Series A $1.0B + Series B $0.5B, due 2056) — incremental financing action post-Q1</w:t>
            </w:r>
          </w:p>
        </w:tc>
      </w:tr>
      <w:tr>
        <w:tc>
          <w:tcPr>
            <w:tcW w:type="dxa" w:w="1728"/>
          </w:tcPr>
          <w:p>
            <w:r>
              <w:rPr>
                <w:rFonts w:ascii="Calibri" w:hAnsi="Calibri"/>
                <w:sz w:val="22"/>
              </w:rPr>
              <w:t>CVOW Project Budget</w:t>
            </w:r>
          </w:p>
        </w:tc>
        <w:tc>
          <w:tcPr>
            <w:tcW w:type="dxa" w:w="1728"/>
          </w:tcPr>
          <w:p>
            <w:r>
              <w:rPr>
                <w:rFonts w:ascii="Calibri" w:hAnsi="Calibri"/>
                <w:sz w:val="22"/>
              </w:rPr>
              <w:t>$11.4B (as of Q1 call); ~$100M lower than prior update; $123M unused contingency</w:t>
            </w:r>
          </w:p>
        </w:tc>
        <w:tc>
          <w:tcPr>
            <w:tcW w:type="dxa" w:w="1728"/>
          </w:tcPr>
          <w:p>
            <w:r>
              <w:rPr>
                <w:rFonts w:ascii="Calibri" w:hAnsi="Calibri"/>
                <w:sz w:val="22"/>
              </w:rPr>
              <w:t>— No formal revision</w:t>
            </w:r>
          </w:p>
        </w:tc>
        <w:tc>
          <w:tcPr>
            <w:tcW w:type="dxa" w:w="1728"/>
          </w:tcPr>
          <w:p>
            <w:r>
              <w:rPr>
                <w:rFonts w:ascii="Calibri" w:hAnsi="Calibri"/>
                <w:sz w:val="22"/>
              </w:rPr>
              <w:t>N/A</w:t>
            </w:r>
          </w:p>
        </w:tc>
        <w:tc>
          <w:tcPr>
            <w:tcW w:type="dxa" w:w="1728"/>
          </w:tcPr>
          <w:p>
            <w:r>
              <w:rPr>
                <w:rFonts w:ascii="Calibri" w:hAnsi="Calibri"/>
                <w:sz w:val="22"/>
              </w:rPr>
              <w:t>Two open items: (1) PJM transmission cost reallocation (potential ↓ to budget); (2) steel/aluminum tariffs (~$200M risk). Management flagged these roughly offset. Watch for Q2 update.</w:t>
            </w:r>
          </w:p>
        </w:tc>
      </w:tr>
      <w:tr>
        <w:tc>
          <w:tcPr>
            <w:tcW w:type="dxa" w:w="1728"/>
          </w:tcPr>
          <w:p>
            <w:r>
              <w:rPr>
                <w:rFonts w:ascii="Calibri" w:hAnsi="Calibri"/>
                <w:sz w:val="22"/>
              </w:rPr>
              <w:t>CVOW Completion Timeline</w:t>
            </w:r>
          </w:p>
        </w:tc>
        <w:tc>
          <w:tcPr>
            <w:tcW w:type="dxa" w:w="1728"/>
          </w:tcPr>
          <w:p>
            <w:r>
              <w:rPr>
                <w:rFonts w:ascii="Calibri" w:hAnsi="Calibri"/>
                <w:sz w:val="22"/>
              </w:rPr>
              <w:t>Majority of turbines in service by end of 2026; remainder by end of June 2027</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Project &gt;75% complete at Q1; 9 turbines completed as of May 1 call; installation cadence ~2 days/turbine</w:t>
            </w:r>
          </w:p>
        </w:tc>
      </w:tr>
      <w:tr>
        <w:tc>
          <w:tcPr>
            <w:tcW w:type="dxa" w:w="1728"/>
          </w:tcPr>
          <w:p>
            <w:r>
              <w:rPr>
                <w:rFonts w:ascii="Calibri" w:hAnsi="Calibri"/>
                <w:sz w:val="22"/>
              </w:rPr>
              <w:t>Battery Storage Capital</w:t>
            </w:r>
          </w:p>
        </w:tc>
        <w:tc>
          <w:tcPr>
            <w:tcW w:type="dxa" w:w="1728"/>
          </w:tcPr>
          <w:p>
            <w:r>
              <w:rPr>
                <w:rFonts w:ascii="Calibri" w:hAnsi="Calibri"/>
                <w:sz w:val="22"/>
              </w:rPr>
              <w:t>~$2B in current $65B 5-year plan; new VA legislation (HB 895/SB 448) requires petition for 20 GW by 2045</w:t>
            </w:r>
          </w:p>
        </w:tc>
        <w:tc>
          <w:tcPr>
            <w:tcW w:type="dxa" w:w="1728"/>
          </w:tcPr>
          <w:p>
            <w:r>
              <w:rPr>
                <w:rFonts w:ascii="Calibri" w:hAnsi="Calibri"/>
                <w:sz w:val="22"/>
              </w:rPr>
              <w:t>— IRP update expected fall 2026; capital plan update Q4 2026</w:t>
            </w:r>
          </w:p>
        </w:tc>
        <w:tc>
          <w:tcPr>
            <w:tcW w:type="dxa" w:w="1728"/>
          </w:tcPr>
          <w:p>
            <w:r>
              <w:rPr>
                <w:rFonts w:ascii="Calibri" w:hAnsi="Calibri"/>
                <w:sz w:val="22"/>
              </w:rPr>
              <w:t>N/A</w:t>
            </w:r>
          </w:p>
        </w:tc>
        <w:tc>
          <w:tcPr>
            <w:tcW w:type="dxa" w:w="1728"/>
          </w:tcPr>
          <w:p>
            <w:r>
              <w:rPr>
                <w:rFonts w:ascii="Calibri" w:hAnsi="Calibri"/>
                <w:sz w:val="22"/>
              </w:rPr>
              <w:t>↑ Meaningful upside to capital plan; $2.5B–$3.0B per GW rule of thumb cited by management</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Q2 2026 operating EPS estimates have been </w:t>
      </w:r>
      <w:r>
        <w:rPr>
          <w:rFonts w:ascii="Calibri" w:hAnsi="Calibri"/>
          <w:b/>
          <w:color w:val="E5484D"/>
          <w:sz w:val="22"/>
        </w:rPr>
        <w:t>revised down sharply</w:t>
      </w:r>
      <w:r>
        <w:rPr>
          <w:rFonts w:ascii="Calibri" w:hAnsi="Calibri"/>
          <w:color w:val="525866"/>
          <w:sz w:val="22"/>
        </w:rPr>
        <w:t xml:space="preserve"> since Q1 earnings (from ~$0.85 to $0.66, a ~22% cut), creating a low bar. Full-year 2026 estimates are broadly stable near the guidance midpoint. The divergence between the Q2 quarterly estimate trajectory and the stable FY figure suggests analysts are shifting earnings timing within the year rather than cutting the annual view — a setup that favors a beat.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 ~5 Days Post Q1 Earnings (c. May 8, 2026)</w:t>
            </w:r>
          </w:p>
        </w:tc>
        <w:tc>
          <w:tcPr>
            <w:tcW w:type="dxa" w:w="1080"/>
            <w:shd w:val="clear" w:color="auto" w:fill="3B4259"/>
          </w:tcPr>
          <w:p>
            <w:r>
              <w:rPr>
                <w:rFonts w:ascii="Calibri" w:hAnsi="Calibri"/>
                <w:b/>
                <w:color w:val="FFFFFF"/>
                <w:sz w:val="22"/>
              </w:rPr>
              <w:t>Current Consensus (July 30,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Mid</w:t>
            </w:r>
          </w:p>
        </w:tc>
      </w:tr>
      <w:tr>
        <w:tc>
          <w:tcPr>
            <w:tcW w:type="dxa" w:w="1080"/>
          </w:tcPr>
          <w:p>
            <w:r>
              <w:rPr>
                <w:rFonts w:ascii="Calibri" w:hAnsi="Calibri"/>
                <w:sz w:val="22"/>
              </w:rPr>
              <w:t>Operating EPS — Q2 2026</w:t>
            </w:r>
          </w:p>
        </w:tc>
        <w:tc>
          <w:tcPr>
            <w:tcW w:type="dxa" w:w="1080"/>
          </w:tcPr>
          <w:p>
            <w:r>
              <w:rPr>
                <w:rFonts w:ascii="Calibri" w:hAnsi="Calibri"/>
                <w:sz w:val="22"/>
              </w:rPr>
              <w:t>$0.846</w:t>
            </w:r>
          </w:p>
        </w:tc>
        <w:tc>
          <w:tcPr>
            <w:tcW w:type="dxa" w:w="1080"/>
          </w:tcPr>
          <w:p>
            <w:r>
              <w:rPr>
                <w:rFonts w:ascii="Calibri" w:hAnsi="Calibri"/>
                <w:sz w:val="22"/>
              </w:rPr>
              <w:t>$0.664</w:t>
            </w:r>
          </w:p>
        </w:tc>
        <w:tc>
          <w:tcPr>
            <w:tcW w:type="dxa" w:w="1080"/>
          </w:tcPr>
          <w:p>
            <w:r>
              <w:rPr>
                <w:rFonts w:ascii="Calibri" w:hAnsi="Calibri"/>
                <w:b/>
                <w:color w:val="E5484D"/>
                <w:sz w:val="22"/>
              </w:rPr>
              <w:t>−21.5%</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 2026</w:t>
            </w:r>
          </w:p>
        </w:tc>
        <w:tc>
          <w:tcPr>
            <w:tcW w:type="dxa" w:w="1080"/>
          </w:tcPr>
          <w:p>
            <w:r>
              <w:rPr>
                <w:rFonts w:ascii="Calibri" w:hAnsi="Calibri"/>
                <w:sz w:val="22"/>
              </w:rPr>
              <w:t>$3.590</w:t>
            </w:r>
          </w:p>
        </w:tc>
        <w:tc>
          <w:tcPr>
            <w:tcW w:type="dxa" w:w="1080"/>
          </w:tcPr>
          <w:p>
            <w:r>
              <w:rPr>
                <w:rFonts w:ascii="Calibri" w:hAnsi="Calibri"/>
                <w:sz w:val="22"/>
              </w:rPr>
              <w:t>$3.562</w:t>
            </w:r>
          </w:p>
        </w:tc>
        <w:tc>
          <w:tcPr>
            <w:tcW w:type="dxa" w:w="1080"/>
          </w:tcPr>
          <w:p>
            <w:r>
              <w:rPr>
                <w:rFonts w:ascii="Calibri" w:hAnsi="Calibri"/>
                <w:sz w:val="22"/>
              </w:rPr>
              <w:t>−0.8%</w:t>
            </w:r>
          </w:p>
        </w:tc>
        <w:tc>
          <w:tcPr>
            <w:tcW w:type="dxa" w:w="1080"/>
          </w:tcPr>
          <w:p>
            <w:r>
              <w:rPr>
                <w:rFonts w:ascii="Calibri" w:hAnsi="Calibri"/>
                <w:sz w:val="22"/>
              </w:rPr>
              <w:t>$3.45–$3.69 ($3.57 mid)</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−0.2% vs. mid (essentially at midpoint)</w:t>
            </w:r>
          </w:p>
        </w:tc>
      </w:tr>
      <w:tr>
        <w:tc>
          <w:tcPr>
            <w:tcW w:type="dxa" w:w="1080"/>
          </w:tcPr>
          <w:p>
            <w:r>
              <w:rPr>
                <w:rFonts w:ascii="Calibri" w:hAnsi="Calibri"/>
                <w:sz w:val="22"/>
              </w:rPr>
              <w:t>Operating EPS — FY 2027</w:t>
            </w:r>
          </w:p>
        </w:tc>
        <w:tc>
          <w:tcPr>
            <w:tcW w:type="dxa" w:w="1080"/>
          </w:tcPr>
          <w:p>
            <w:r>
              <w:rPr>
                <w:rFonts w:ascii="Calibri" w:hAnsi="Calibri"/>
                <w:sz w:val="22"/>
              </w:rPr>
              <w:t>$3.787</w:t>
            </w:r>
          </w:p>
        </w:tc>
        <w:tc>
          <w:tcPr>
            <w:tcW w:type="dxa" w:w="1080"/>
          </w:tcPr>
          <w:p>
            <w:r>
              <w:rPr>
                <w:rFonts w:ascii="Calibri" w:hAnsi="Calibri"/>
                <w:sz w:val="22"/>
              </w:rPr>
              <w:t>$3.821</w:t>
            </w:r>
          </w:p>
        </w:tc>
        <w:tc>
          <w:tcPr>
            <w:tcW w:type="dxa" w:w="1080"/>
          </w:tcPr>
          <w:p>
            <w:r>
              <w:rPr>
                <w:rFonts w:ascii="Calibri" w:hAnsi="Calibri"/>
                <w:b/>
                <w:color w:val="30A46C"/>
                <w:sz w:val="22"/>
              </w:rPr>
              <w:t>+0.9%</w:t>
            </w:r>
          </w:p>
        </w:tc>
        <w:tc>
          <w:tcPr>
            <w:tcW w:type="dxa" w:w="1080"/>
          </w:tcPr>
          <w:p>
            <w:r>
              <w:rPr>
                <w:rFonts w:ascii="Calibri" w:hAnsi="Calibri"/>
                <w:sz w:val="22"/>
              </w:rPr>
              <w:t>5%–7% CAGR off 2025 base</w:t>
            </w:r>
          </w:p>
        </w:tc>
        <w:tc>
          <w:tcPr>
            <w:tcW w:type="dxa" w:w="1080"/>
          </w:tcPr>
          <w:p>
            <w:r>
              <w:rPr>
                <w:rFonts w:ascii="Calibri" w:hAnsi="Calibri"/>
                <w:sz w:val="22"/>
              </w:rPr>
              <w:t>Unchanged (merger pending)</w:t>
            </w:r>
          </w:p>
        </w:tc>
        <w:tc>
          <w:tcPr>
            <w:tcW w:type="dxa" w:w="1080"/>
          </w:tcPr>
          <w:p>
            <w:r>
              <w:rPr>
                <w:rFonts w:ascii="Calibri" w:hAnsi="Calibri"/>
                <w:sz w:val="22"/>
              </w:rPr>
              <w:t>Unchanged</w:t>
            </w:r>
          </w:p>
        </w:tc>
        <w:tc>
          <w:tcPr>
            <w:tcW w:type="dxa" w:w="1080"/>
          </w:tcPr>
          <w:p>
            <w:r>
              <w:rPr>
                <w:rFonts w:ascii="Calibri" w:hAnsi="Calibri"/>
                <w:sz w:val="22"/>
              </w:rPr>
              <w:t>Tracking within long-term growth range</w:t>
            </w:r>
          </w:p>
        </w:tc>
      </w:tr>
      <w:tr>
        <w:tc>
          <w:tcPr>
            <w:tcW w:type="dxa" w:w="1080"/>
          </w:tcPr>
          <w:p>
            <w:r>
              <w:rPr>
                <w:rFonts w:ascii="Calibri" w:hAnsi="Calibri"/>
                <w:sz w:val="22"/>
              </w:rPr>
              <w:t>Total Revenue — Q2 2026</w:t>
            </w:r>
          </w:p>
        </w:tc>
        <w:tc>
          <w:tcPr>
            <w:tcW w:type="dxa" w:w="1080"/>
          </w:tcPr>
          <w:p>
            <w:r>
              <w:rPr>
                <w:rFonts w:ascii="Calibri" w:hAnsi="Calibri"/>
                <w:sz w:val="22"/>
              </w:rPr>
              <w:t>$4.307B</w:t>
            </w:r>
          </w:p>
        </w:tc>
        <w:tc>
          <w:tcPr>
            <w:tcW w:type="dxa" w:w="1080"/>
          </w:tcPr>
          <w:p>
            <w:r>
              <w:rPr>
                <w:rFonts w:ascii="Calibri" w:hAnsi="Calibri"/>
                <w:sz w:val="22"/>
              </w:rPr>
              <w:t>$4.093B</w:t>
            </w:r>
          </w:p>
        </w:tc>
        <w:tc>
          <w:tcPr>
            <w:tcW w:type="dxa" w:w="1080"/>
          </w:tcPr>
          <w:p>
            <w:r>
              <w:rPr>
                <w:rFonts w:ascii="Calibri" w:hAnsi="Calibri"/>
                <w:b/>
                <w:color w:val="E5484D"/>
                <w:sz w:val="22"/>
              </w:rPr>
              <w:t>−5.0%</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$18.662B</w:t>
            </w:r>
          </w:p>
        </w:tc>
        <w:tc>
          <w:tcPr>
            <w:tcW w:type="dxa" w:w="1080"/>
          </w:tcPr>
          <w:p>
            <w:r>
              <w:rPr>
                <w:rFonts w:ascii="Calibri" w:hAnsi="Calibri"/>
                <w:sz w:val="22"/>
              </w:rPr>
              <w:t>$18.287B</w:t>
            </w:r>
          </w:p>
        </w:tc>
        <w:tc>
          <w:tcPr>
            <w:tcW w:type="dxa" w:w="1080"/>
          </w:tcPr>
          <w:p>
            <w:r>
              <w:rPr>
                <w:rFonts w:ascii="Calibri" w:hAnsi="Calibri"/>
                <w:sz w:val="22"/>
              </w:rPr>
              <w:t>−2.0%</w:t>
            </w:r>
          </w:p>
        </w:tc>
        <w:tc>
          <w:tcPr>
            <w:tcW w:type="dxa" w:w="1080"/>
          </w:tcPr>
          <w:p>
            <w:r>
              <w:rPr>
                <w:rFonts w:ascii="Calibri" w:hAnsi="Calibri"/>
                <w:sz w:val="22"/>
              </w:rPr>
              <w:t>No formal revenue guidance</w:t>
            </w:r>
          </w:p>
        </w:tc>
        <w:tc>
          <w:tcPr>
            <w:tcW w:type="dxa" w:w="1080"/>
          </w:tcPr>
          <w:p>
            <w:r>
              <w:rPr>
                <w:rFonts w:ascii="Calibri" w:hAnsi="Calibri"/>
                <w:sz w:val="22"/>
              </w:rPr>
              <w:t>No formal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Capital Additions — FY 2026</w:t>
            </w:r>
          </w:p>
        </w:tc>
        <w:tc>
          <w:tcPr>
            <w:tcW w:type="dxa" w:w="1080"/>
          </w:tcPr>
          <w:p>
            <w:r>
              <w:rPr>
                <w:rFonts w:ascii="Calibri" w:hAnsi="Calibri"/>
                <w:sz w:val="22"/>
              </w:rPr>
              <w:t>$10.920B</w:t>
            </w:r>
          </w:p>
        </w:tc>
        <w:tc>
          <w:tcPr>
            <w:tcW w:type="dxa" w:w="1080"/>
          </w:tcPr>
          <w:p>
            <w:r>
              <w:rPr>
                <w:rFonts w:ascii="Calibri" w:hAnsi="Calibri"/>
                <w:sz w:val="22"/>
              </w:rPr>
              <w:t>$10.936B</w:t>
            </w:r>
          </w:p>
        </w:tc>
        <w:tc>
          <w:tcPr>
            <w:tcW w:type="dxa" w:w="1080"/>
          </w:tcPr>
          <w:p>
            <w:r>
              <w:rPr>
                <w:rFonts w:ascii="Calibri" w:hAnsi="Calibri"/>
                <w:sz w:val="22"/>
              </w:rPr>
              <w:t>+0.1%</w:t>
            </w:r>
          </w:p>
        </w:tc>
        <w:tc>
          <w:tcPr>
            <w:tcW w:type="dxa" w:w="1080"/>
          </w:tcPr>
          <w:p>
            <w:r>
              <w:rPr>
                <w:rFonts w:ascii="Calibri" w:hAnsi="Calibri"/>
                <w:sz w:val="22"/>
              </w:rPr>
              <w:t>$65B 5-year plan (~$13B/yr avg)</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Consensus below 5-yr avg; back-end weighted plan</w:t>
            </w:r>
          </w:p>
        </w:tc>
      </w:tr>
    </w:tbl>
    <w:p>
      <w:r>
        <w:rPr>
          <w:rFonts w:ascii="Calibri" w:hAnsi="Calibri"/>
          <w:i/>
          <w:color w:val="525866"/>
          <w:sz w:val="22"/>
        </w:rPr>
        <w:t xml:space="preserve">Source: </w:t>
      </w:r>
      <w:r>
        <w:rPr>
          <w:rFonts w:ascii="Calibri" w:hAnsi="Calibri"/>
          <w:i/>
          <w:color w:val="525866"/>
          <w:sz w:val="22"/>
        </w:rPr>
        <w:t>Visible Alpha Consensus and Actuals Data; as-of date May 8, 2026 used as post-Q1 baseline. FY 2026 guidance from Q1 2026 Earnings Call (May 1, 2026).</w:t>
      </w:r>
    </w:p>
    <w:p>
      <w:r>
        <w:rPr>
          <w:rFonts w:ascii="Calibri" w:hAnsi="Calibri"/>
          <w:b/>
          <w:color w:val="525866"/>
          <w:sz w:val="22"/>
        </w:rPr>
        <w:t xml:space="preserve">Commentary: </w:t>
      </w:r>
      <w:r>
        <w:rPr>
          <w:rFonts w:ascii="Calibri" w:hAnsi="Calibri"/>
          <w:color w:val="525866"/>
          <w:sz w:val="22"/>
        </w:rPr>
        <w:t>The sharp Q2 EPS estimate cut (−21.5%) since Q1 earnings is the most notable revision dynamic. This appears to reflect analysts adjusting for seasonal patterns and CVOW cost timing rather than a fundamental deterioration — the FY 2026 estimate is essentially unchanged at the guidance midpoint. FY 2027 estimates have actually ticked slightly higher (+0.9%), consistent with management’s bias toward the upper half of the 5%–7% growth range starting in 2028. The low Q2 bar is the clearest setup for a beat.</w:t>
      </w:r>
    </w:p>
    <w:p>
      <w:r>
        <w:br w:type="page"/>
      </w:r>
    </w:p>
    <w:p>
      <w:pPr>
        <w:pStyle w:val="Heading2"/>
      </w:pPr>
      <w:r>
        <w:rPr>
          <w:rFonts w:ascii="Calibri" w:hAnsi="Calibri"/>
          <w:b/>
          <w:color w:val="3B4259"/>
          <w:sz w:val="28"/>
        </w:rPr>
        <w:t>5. Stock Performance Since Last Earnings (May 1, 2026)</w:t>
      </w:r>
    </w:p>
    <w:p>
      <w:r>
        <w:rPr>
          <w:rFonts w:ascii="Calibri" w:hAnsi="Calibri"/>
          <w:b/>
          <w:color w:val="525866"/>
          <w:sz w:val="22"/>
        </w:rPr>
        <w:t xml:space="preserve">Key Takeaway: </w:t>
      </w:r>
      <w:r>
        <w:rPr>
          <w:rFonts w:ascii="Calibri" w:hAnsi="Calibri"/>
          <w:color w:val="525866"/>
          <w:sz w:val="22"/>
        </w:rPr>
        <w:t xml:space="preserve">D has significantly </w:t>
      </w:r>
      <w:r>
        <w:rPr>
          <w:rFonts w:ascii="Calibri" w:hAnsi="Calibri"/>
          <w:b/>
          <w:color w:val="30A46C"/>
          <w:sz w:val="22"/>
        </w:rPr>
        <w:t>outperformed</w:t>
      </w:r>
      <w:r>
        <w:rPr>
          <w:rFonts w:ascii="Calibri" w:hAnsi="Calibri"/>
          <w:color w:val="525866"/>
          <w:sz w:val="22"/>
        </w:rPr>
        <w:t xml:space="preserve"> both XLU and SPY since Q1 earnings, driven almost entirely by the </w:t>
      </w:r>
      <w:r>
        <w:rPr>
          <w:rFonts w:ascii="Calibri" w:hAnsi="Calibri"/>
          <w:b/>
          <w:color w:val="525866"/>
          <w:sz w:val="22"/>
        </w:rPr>
        <w:t>May 18 NEE merger announcement</w:t>
      </w:r>
      <w:r>
        <w:rPr>
          <w:rFonts w:ascii="Calibri" w:hAnsi="Calibri"/>
          <w:color w:val="525866"/>
          <w:sz w:val="22"/>
        </w:rPr>
        <w:t xml:space="preserve"> rather than fundamental estimate revisions (which have been flat-to-down). The stock’s re-rating is deal-driven, not earnings-driven.</w:t>
      </w:r>
    </w:p>
    <w:p>
      <w:pPr>
        <w:pStyle w:val="Heading3"/>
      </w:pPr>
      <w:r>
        <w:rPr>
          <w:rFonts w:ascii="Calibri" w:hAnsi="Calibri"/>
          <w:b/>
          <w:color w:val="3B4259"/>
          <w:sz w:val="24"/>
        </w:rPr>
        <w:t>Indexed Price Performance (Base = 100 at May 1, 2026 Close)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D (Indexed)</w:t>
            </w:r>
          </w:p>
        </w:tc>
        <w:tc>
          <w:tcPr>
            <w:tcW w:type="dxa" w:w="1728"/>
            <w:shd w:val="clear" w:color="auto" w:fill="3B4259"/>
          </w:tcPr>
          <w:p>
            <w:r>
              <w:rPr>
                <w:rFonts w:ascii="Calibri" w:hAnsi="Calibri"/>
                <w:b/>
                <w:color w:val="FFFFFF"/>
                <w:sz w:val="22"/>
              </w:rPr>
              <w:t>XLU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May 1, 2026 (Q1 Earnings)</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Q1 2026 earnings beat; all guidance affirmed</w:t>
            </w:r>
          </w:p>
        </w:tc>
      </w:tr>
      <w:tr>
        <w:tc>
          <w:tcPr>
            <w:tcW w:type="dxa" w:w="1728"/>
          </w:tcPr>
          <w:p>
            <w:r>
              <w:rPr>
                <w:rFonts w:ascii="Calibri" w:hAnsi="Calibri"/>
                <w:sz w:val="22"/>
              </w:rPr>
              <w:t>May 18, 2026</w:t>
            </w:r>
          </w:p>
        </w:tc>
        <w:tc>
          <w:tcPr>
            <w:tcW w:type="dxa" w:w="1728"/>
          </w:tcPr>
          <w:p>
            <w:r>
              <w:rPr>
                <w:rFonts w:ascii="Calibri" w:hAnsi="Calibri"/>
                <w:sz w:val="22"/>
              </w:rPr>
              <w:t>105.7</w:t>
            </w:r>
          </w:p>
        </w:tc>
        <w:tc>
          <w:tcPr>
            <w:tcW w:type="dxa" w:w="1728"/>
          </w:tcPr>
          <w:p>
            <w:r>
              <w:rPr>
                <w:rFonts w:ascii="Calibri" w:hAnsi="Calibri"/>
                <w:sz w:val="22"/>
              </w:rPr>
              <w:t>94.4</w:t>
            </w:r>
          </w:p>
        </w:tc>
        <w:tc>
          <w:tcPr>
            <w:tcW w:type="dxa" w:w="1728"/>
          </w:tcPr>
          <w:p>
            <w:r>
              <w:rPr>
                <w:rFonts w:ascii="Calibri" w:hAnsi="Calibri"/>
                <w:sz w:val="22"/>
              </w:rPr>
              <w:t>102.5</w:t>
            </w:r>
          </w:p>
        </w:tc>
        <w:tc>
          <w:tcPr>
            <w:tcW w:type="dxa" w:w="1728"/>
          </w:tcPr>
          <w:p>
            <w:r>
              <w:rPr>
                <w:rFonts w:ascii="Calibri" w:hAnsi="Calibri"/>
                <w:sz w:val="22"/>
              </w:rPr>
              <w:t>NEE merger announced (0.8138x NEE shares + $360M cash aggregate)</w:t>
            </w:r>
          </w:p>
        </w:tc>
      </w:tr>
      <w:tr>
        <w:tc>
          <w:tcPr>
            <w:tcW w:type="dxa" w:w="1728"/>
          </w:tcPr>
          <w:p>
            <w:r>
              <w:rPr>
                <w:rFonts w:ascii="Calibri" w:hAnsi="Calibri"/>
                <w:sz w:val="22"/>
              </w:rPr>
              <w:t>June 16, 2026</w:t>
            </w:r>
          </w:p>
        </w:tc>
        <w:tc>
          <w:tcPr>
            <w:tcW w:type="dxa" w:w="1728"/>
          </w:tcPr>
          <w:p>
            <w:r>
              <w:rPr>
                <w:rFonts w:ascii="Calibri" w:hAnsi="Calibri"/>
                <w:sz w:val="22"/>
              </w:rPr>
              <w:t>107.1</w:t>
            </w:r>
          </w:p>
        </w:tc>
        <w:tc>
          <w:tcPr>
            <w:tcW w:type="dxa" w:w="1728"/>
          </w:tcPr>
          <w:p>
            <w:r>
              <w:rPr>
                <w:rFonts w:ascii="Calibri" w:hAnsi="Calibri"/>
                <w:sz w:val="22"/>
              </w:rPr>
              <w:t>96.8</w:t>
            </w:r>
          </w:p>
        </w:tc>
        <w:tc>
          <w:tcPr>
            <w:tcW w:type="dxa" w:w="1728"/>
          </w:tcPr>
          <w:p>
            <w:r>
              <w:rPr>
                <w:rFonts w:ascii="Calibri" w:hAnsi="Calibri"/>
                <w:sz w:val="22"/>
              </w:rPr>
              <w:t>104.1</w:t>
            </w:r>
          </w:p>
        </w:tc>
        <w:tc>
          <w:tcPr>
            <w:tcW w:type="dxa" w:w="1728"/>
          </w:tcPr>
          <w:p>
            <w:r>
              <w:rPr>
                <w:rFonts w:ascii="Calibri" w:hAnsi="Calibri"/>
                <w:sz w:val="22"/>
              </w:rPr>
              <w:t>$1.5B junior subordinated notes issued (Series A $1.0B + Series B $0.5B, due 2056)</w:t>
            </w:r>
          </w:p>
        </w:tc>
      </w:tr>
      <w:tr>
        <w:tc>
          <w:tcPr>
            <w:tcW w:type="dxa" w:w="1728"/>
          </w:tcPr>
          <w:p>
            <w:r>
              <w:rPr>
                <w:rFonts w:ascii="Calibri" w:hAnsi="Calibri"/>
                <w:sz w:val="22"/>
              </w:rPr>
              <w:t>July 9, 2026</w:t>
            </w:r>
          </w:p>
        </w:tc>
        <w:tc>
          <w:tcPr>
            <w:tcW w:type="dxa" w:w="1728"/>
          </w:tcPr>
          <w:p>
            <w:r>
              <w:rPr>
                <w:rFonts w:ascii="Calibri" w:hAnsi="Calibri"/>
                <w:sz w:val="22"/>
              </w:rPr>
              <w:t>108.6</w:t>
            </w:r>
          </w:p>
        </w:tc>
        <w:tc>
          <w:tcPr>
            <w:tcW w:type="dxa" w:w="1728"/>
          </w:tcPr>
          <w:p>
            <w:r>
              <w:rPr>
                <w:rFonts w:ascii="Calibri" w:hAnsi="Calibri"/>
                <w:sz w:val="22"/>
              </w:rPr>
              <w:t>97.0</w:t>
            </w:r>
          </w:p>
        </w:tc>
        <w:tc>
          <w:tcPr>
            <w:tcW w:type="dxa" w:w="1728"/>
          </w:tcPr>
          <w:p>
            <w:r>
              <w:rPr>
                <w:rFonts w:ascii="Calibri" w:hAnsi="Calibri"/>
                <w:sz w:val="22"/>
              </w:rPr>
              <w:t>104.3</w:t>
            </w:r>
          </w:p>
        </w:tc>
        <w:tc>
          <w:tcPr>
            <w:tcW w:type="dxa" w:w="1728"/>
          </w:tcPr>
          <w:p>
            <w:r>
              <w:rPr>
                <w:rFonts w:ascii="Calibri" w:hAnsi="Calibri"/>
                <w:sz w:val="22"/>
              </w:rPr>
              <w:t>D announces Q2 2026 earnings call date; NEE S-4 filed with SEC (effective July 23)</w:t>
            </w:r>
          </w:p>
        </w:tc>
      </w:tr>
      <w:tr>
        <w:tc>
          <w:tcPr>
            <w:tcW w:type="dxa" w:w="1728"/>
          </w:tcPr>
          <w:p>
            <w:r>
              <w:rPr>
                <w:rFonts w:ascii="Calibri" w:hAnsi="Calibri"/>
                <w:sz w:val="22"/>
              </w:rPr>
              <w:t>July 29, 2026 (last close)</w:t>
            </w:r>
          </w:p>
        </w:tc>
        <w:tc>
          <w:tcPr>
            <w:tcW w:type="dxa" w:w="1728"/>
          </w:tcPr>
          <w:p>
            <w:r>
              <w:rPr>
                <w:rFonts w:ascii="Calibri" w:hAnsi="Calibri"/>
                <w:sz w:val="22"/>
              </w:rPr>
              <w:t>110.3</w:t>
            </w:r>
          </w:p>
        </w:tc>
        <w:tc>
          <w:tcPr>
            <w:tcW w:type="dxa" w:w="1728"/>
          </w:tcPr>
          <w:p>
            <w:r>
              <w:rPr>
                <w:rFonts w:ascii="Calibri" w:hAnsi="Calibri"/>
                <w:sz w:val="22"/>
              </w:rPr>
              <w:t>96.5</w:t>
            </w:r>
          </w:p>
        </w:tc>
        <w:tc>
          <w:tcPr>
            <w:tcW w:type="dxa" w:w="1728"/>
          </w:tcPr>
          <w:p>
            <w:r>
              <w:rPr>
                <w:rFonts w:ascii="Calibri" w:hAnsi="Calibri"/>
                <w:sz w:val="22"/>
              </w:rPr>
              <w:t>101.2</w:t>
            </w:r>
          </w:p>
        </w:tc>
        <w:tc>
          <w:tcPr>
            <w:tcW w:type="dxa" w:w="1728"/>
          </w:tcPr>
          <w:p>
            <w:r>
              <w:rPr>
                <w:rFonts w:ascii="Calibri" w:hAnsi="Calibri"/>
                <w:sz w:val="22"/>
              </w:rPr>
              <w:t>Day before Q2 earnings</w:t>
            </w:r>
          </w:p>
        </w:tc>
      </w:tr>
    </w:tbl>
    <w:p>
      <w:r>
        <w:rPr>
          <w:rFonts w:ascii="Calibri" w:hAnsi="Calibri"/>
          <w:i/>
          <w:color w:val="525866"/>
          <w:sz w:val="22"/>
        </w:rPr>
        <w:t xml:space="preserve">Note: </w:t>
      </w:r>
      <w:r>
        <w:rPr>
          <w:rFonts w:ascii="Calibri" w:hAnsi="Calibri"/>
          <w:i/>
          <w:color w:val="525866"/>
          <w:sz w:val="22"/>
        </w:rPr>
        <w:t>Indexed values calculated from closing prices: D ($63.94 → $70.55), XLU ($46.55 → $44.91), SPY ($720.65 → $729.46) as of July 29, 2026. Sector ETF: XLU (Utilities Select Sector SPDR Fund) — appropriate for D’s regulated electric/gas utility profile. Source: Stock Price Data (Yahoo Finance).</w:t>
      </w:r>
    </w:p>
    <w:p>
      <w:r>
        <w:rPr>
          <w:rFonts w:ascii="Calibri" w:hAnsi="Calibri"/>
          <w:b/>
          <w:color w:val="525866"/>
          <w:sz w:val="22"/>
        </w:rPr>
        <w:t xml:space="preserve">Performance Summary: </w:t>
      </w:r>
      <w:r>
        <w:rPr>
          <w:rFonts w:ascii="Calibri" w:hAnsi="Calibri"/>
          <w:color w:val="525866"/>
          <w:sz w:val="22"/>
        </w:rPr>
        <w:t>D +10.3% vs. XLU −3.5% and SPY +1.2% since Q1 earnings. The entire outperformance gap opened on May 18 (merger announcement day) and has been sustained. D’s move is almost entirely deal-driven — the stock is now trading as a merger arbitrage instrument as much as a utility. XLU has underperformed SPY over the same period, reflecting rising rate pressure on the sector.</w:t>
      </w:r>
    </w:p>
    <w:p>
      <w:r>
        <w:br w:type="page"/>
      </w:r>
    </w:p>
    <w:p>
      <w:pPr>
        <w:pStyle w:val="Heading2"/>
      </w:pPr>
      <w:r>
        <w:rPr>
          <w:rFonts w:ascii="Calibri" w:hAnsi="Calibri"/>
          <w:b/>
          <w:color w:val="3B4259"/>
          <w:sz w:val="28"/>
        </w:rPr>
        <w:t>6. Material News &amp; Developments (Since May 1, 2026)</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NEE merger agreement (signed May 15, announced May 18)</w:t>
      </w:r>
      <w:r>
        <w:rPr>
          <w:rFonts w:ascii="Calibri" w:hAnsi="Calibri"/>
          <w:color w:val="525866"/>
          <w:sz w:val="22"/>
        </w:rPr>
        <w:t xml:space="preserve"> is the single most material development since Q1 earnings and dominates the investment thesis. All other developments — CVOW progress, financing, regulatory filings — are secondary but relevant to the standalone story if the deal does not close.</w:t>
      </w:r>
    </w:p>
    <w:p>
      <w:pPr>
        <w:pStyle w:val="ListBullet"/>
        <w:ind w:left="360" w:hanging="360"/>
      </w:pPr>
      <w:r>
        <w:rPr>
          <w:rFonts w:ascii="Calibri" w:hAnsi="Calibri"/>
          <w:b/>
          <w:color w:val="525866"/>
          <w:sz w:val="22"/>
        </w:rPr>
        <w:t xml:space="preserve">May 15, 2026 (effective) / May 18, 2026 (announced): </w:t>
      </w:r>
      <w:r>
        <w:rPr>
          <w:rFonts w:ascii="Calibri" w:hAnsi="Calibri"/>
          <w:color w:val="525866"/>
          <w:sz w:val="22"/>
        </w:rPr>
        <w:t xml:space="preserve">Dominion Energy entered into a definitive Agreement and Plan of Merger with NextEra Energy, Inc. (NEE). Under the terms, each D share converts into 0.8138 shares of NEE common stock plus a pro-rata share of $360M aggregate cash consideration. NEE’s board will expand to 14 members, with 4 D directors/executives joining, including D’s current Chair &amp; CEO. Headquarters to remain in Richmond, VA. Termination fees: D owes NEE $2.24B; NEE owes D $6.52B (or $4.83B for regulatory failure). Expected close: H2 2027. </w:t>
      </w:r>
      <w:r>
        <w:rPr>
          <w:rFonts w:ascii="Calibri" w:hAnsi="Calibri"/>
          <w:i/>
          <w:color w:val="525866"/>
          <w:sz w:val="22"/>
        </w:rPr>
        <w:t xml:space="preserve">Implication: </w:t>
      </w:r>
      <w:r>
        <w:rPr>
          <w:rFonts w:ascii="Calibri" w:hAnsi="Calibri"/>
          <w:color w:val="525866"/>
          <w:sz w:val="22"/>
        </w:rPr>
        <w:t>Transforms D into a merger arb; standalone guidance and capital plan become secondary to deal timeline and regulatory approvals.</w:t>
      </w:r>
    </w:p>
    <w:p>
      <w:pPr>
        <w:pStyle w:val="ListBullet"/>
        <w:ind w:left="360" w:hanging="360"/>
      </w:pPr>
      <w:r>
        <w:rPr>
          <w:rFonts w:ascii="Calibri" w:hAnsi="Calibri"/>
          <w:b/>
          <w:color w:val="525866"/>
          <w:sz w:val="22"/>
        </w:rPr>
        <w:t xml:space="preserve">July 15, 2026: </w:t>
      </w:r>
      <w:r>
        <w:rPr>
          <w:rFonts w:ascii="Calibri" w:hAnsi="Calibri"/>
          <w:color w:val="525866"/>
          <w:sz w:val="22"/>
        </w:rPr>
        <w:t xml:space="preserve">NEE filed for merger approval with the Virginia State Corporation Commission (SCC), North Carolina Utilities Commission, and Public Service Commission of South Carolina, initiating Virginia’s statutory 6-month review process. Separate filings made with FERC and the NRC. </w:t>
      </w:r>
      <w:r>
        <w:rPr>
          <w:rFonts w:ascii="Calibri" w:hAnsi="Calibri"/>
          <w:i/>
          <w:color w:val="525866"/>
          <w:sz w:val="22"/>
        </w:rPr>
        <w:t xml:space="preserve">Implication: </w:t>
      </w:r>
      <w:r>
        <w:rPr>
          <w:rFonts w:ascii="Calibri" w:hAnsi="Calibri"/>
          <w:color w:val="525866"/>
          <w:sz w:val="22"/>
        </w:rPr>
        <w:t>Regulatory clock is running; Virginia SCC review is the critical path. NEE also offering $2.25B in shareholder-funded bill credits to D customers in VA, NC, and SC.</w:t>
      </w:r>
    </w:p>
    <w:p>
      <w:pPr>
        <w:pStyle w:val="ListBullet"/>
        <w:ind w:left="360" w:hanging="360"/>
      </w:pPr>
      <w:r>
        <w:rPr>
          <w:rFonts w:ascii="Calibri" w:hAnsi="Calibri"/>
          <w:b/>
          <w:color w:val="525866"/>
          <w:sz w:val="22"/>
        </w:rPr>
        <w:t xml:space="preserve">July 9, 2026 (S-4 filed) / July 23, 2026 (S-4 effective): </w:t>
      </w:r>
      <w:r>
        <w:rPr>
          <w:rFonts w:ascii="Calibri" w:hAnsi="Calibri"/>
          <w:color w:val="525866"/>
          <w:sz w:val="22"/>
        </w:rPr>
        <w:t xml:space="preserve">NEE filed the merger S-4 registration statement with the SEC on July 9; it became effective July 23. Shareholder meetings for both companies anticipated in early September 2026. </w:t>
      </w:r>
      <w:r>
        <w:rPr>
          <w:rFonts w:ascii="Calibri" w:hAnsi="Calibri"/>
          <w:i/>
          <w:color w:val="525866"/>
          <w:sz w:val="22"/>
        </w:rPr>
        <w:t xml:space="preserve">Implication: </w:t>
      </w:r>
      <w:r>
        <w:rPr>
          <w:rFonts w:ascii="Calibri" w:hAnsi="Calibri"/>
          <w:color w:val="525866"/>
          <w:sz w:val="22"/>
        </w:rPr>
        <w:t>Deal timeline is on track; shareholder votes expected September 2026.</w:t>
      </w:r>
    </w:p>
    <w:p>
      <w:pPr>
        <w:pStyle w:val="ListBullet"/>
        <w:ind w:left="360" w:hanging="360"/>
      </w:pPr>
      <w:r>
        <w:rPr>
          <w:rFonts w:ascii="Calibri" w:hAnsi="Calibri"/>
          <w:b/>
          <w:color w:val="525866"/>
          <w:sz w:val="22"/>
        </w:rPr>
        <w:t xml:space="preserve">June 16, 2026: </w:t>
      </w:r>
      <w:r>
        <w:rPr>
          <w:rFonts w:ascii="Calibri" w:hAnsi="Calibri"/>
          <w:color w:val="525866"/>
          <w:sz w:val="22"/>
        </w:rPr>
        <w:t xml:space="preserve">Dominion issued $1.5B in junior subordinated notes — $1.0B Series A (2026 Series A JSNs due 2056) and $0.5B Series B (2026 Series B JSNs due 2056) — via underwriting agreement with Morgan Stanley, RBC, US Bancorp, and Wells Fargo. Signed by SVP-IR &amp; Treasurer David M. McFarland. </w:t>
      </w:r>
      <w:r>
        <w:rPr>
          <w:rFonts w:ascii="Calibri" w:hAnsi="Calibri"/>
          <w:i/>
          <w:color w:val="525866"/>
          <w:sz w:val="22"/>
        </w:rPr>
        <w:t xml:space="preserve">Implication: </w:t>
      </w:r>
      <w:r>
        <w:rPr>
          <w:rFonts w:ascii="Calibri" w:hAnsi="Calibri"/>
          <w:color w:val="525866"/>
          <w:sz w:val="22"/>
        </w:rPr>
        <w:t>Incremental balance sheet financing; hybrid equity credit from rating agencies supports FFO/debt metrics.</w:t>
      </w:r>
    </w:p>
    <w:p>
      <w:pPr>
        <w:pStyle w:val="ListBullet"/>
        <w:ind w:left="360" w:hanging="360"/>
      </w:pPr>
      <w:r>
        <w:rPr>
          <w:rFonts w:ascii="Calibri" w:hAnsi="Calibri"/>
          <w:b/>
          <w:color w:val="525866"/>
          <w:sz w:val="22"/>
        </w:rPr>
        <w:t xml:space="preserve">May 1, 2026 (Q1 Earnings): </w:t>
      </w:r>
      <w:r>
        <w:rPr>
          <w:rFonts w:ascii="Calibri" w:hAnsi="Calibri"/>
          <w:color w:val="525866"/>
          <w:sz w:val="22"/>
        </w:rPr>
        <w:t xml:space="preserve">CVOW project confirmed &gt;75% complete; first power delivered to grid in March 2026. All 176 transition pieces installed; all 3 substations installed and commissioning underway. 9 turbines completed as of call date; installation cadence ~2 days/turbine. Budget at $11.4B (~$100M lower than prior update); $123M unused contingency. Two open cost items: (1) PJM transmission cost reallocation (potential downward); (2) steel/aluminum tariffs (~$200M risk). Management flagged these roughly offset. </w:t>
      </w:r>
      <w:r>
        <w:rPr>
          <w:rFonts w:ascii="Calibri" w:hAnsi="Calibri"/>
          <w:i/>
          <w:color w:val="525866"/>
          <w:sz w:val="22"/>
        </w:rPr>
        <w:t xml:space="preserve">Implication: </w:t>
      </w:r>
      <w:r>
        <w:rPr>
          <w:rFonts w:ascii="Calibri" w:hAnsi="Calibri"/>
          <w:color w:val="525866"/>
          <w:sz w:val="22"/>
        </w:rPr>
        <w:t>Q2 call will provide the next CVOW update — turbine count and any tariff/PJM resolution are key watch items.</w:t>
      </w:r>
    </w:p>
    <w:p>
      <w:pPr>
        <w:pStyle w:val="ListBullet"/>
        <w:ind w:left="360" w:hanging="360"/>
      </w:pPr>
      <w:r>
        <w:rPr>
          <w:rFonts w:ascii="Calibri" w:hAnsi="Calibri"/>
          <w:b/>
          <w:color w:val="525866"/>
          <w:sz w:val="22"/>
        </w:rPr>
        <w:t xml:space="preserve">May 1, 2026 (Q1 Earnings): </w:t>
      </w:r>
      <w:r>
        <w:rPr>
          <w:rFonts w:ascii="Calibri" w:hAnsi="Calibri"/>
          <w:color w:val="525866"/>
          <w:sz w:val="22"/>
        </w:rPr>
        <w:t xml:space="preserve">Data center contracted capacity surpassed 50 GW in various stages of contracting, including ~10.4 GW under signed electric service agreements. Management described demand as “accelerating and durable” with “no detectable change” in interest. </w:t>
      </w:r>
      <w:r>
        <w:rPr>
          <w:rFonts w:ascii="Calibri" w:hAnsi="Calibri"/>
          <w:i/>
          <w:color w:val="525866"/>
          <w:sz w:val="22"/>
        </w:rPr>
        <w:t xml:space="preserve">Implication: </w:t>
      </w:r>
      <w:r>
        <w:rPr>
          <w:rFonts w:ascii="Calibri" w:hAnsi="Calibri"/>
          <w:color w:val="525866"/>
          <w:sz w:val="22"/>
        </w:rPr>
        <w:t>Continued load growth supports long-term capital deployment; watch for updated contracted capacity figure on Q2 call.</w:t>
      </w:r>
    </w:p>
    <w:p>
      <w:pPr>
        <w:pStyle w:val="ListBullet"/>
        <w:ind w:left="360" w:hanging="360"/>
      </w:pPr>
      <w:r>
        <w:rPr>
          <w:rFonts w:ascii="Calibri" w:hAnsi="Calibri"/>
          <w:b/>
          <w:color w:val="525866"/>
          <w:sz w:val="22"/>
        </w:rPr>
        <w:t xml:space="preserve">May 7, 2026: </w:t>
      </w:r>
      <w:r>
        <w:rPr>
          <w:rFonts w:ascii="Calibri" w:hAnsi="Calibri"/>
          <w:color w:val="525866"/>
          <w:sz w:val="22"/>
        </w:rPr>
        <w:t xml:space="preserve">Dominion Energy shareholders elected directors, approved executive pay, and rejected governance proposals at the annual meeting. </w:t>
      </w:r>
      <w:r>
        <w:rPr>
          <w:rFonts w:ascii="Calibri" w:hAnsi="Calibri"/>
          <w:i/>
          <w:color w:val="525866"/>
          <w:sz w:val="22"/>
        </w:rPr>
        <w:t xml:space="preserve">Implication: </w:t>
      </w:r>
      <w:r>
        <w:rPr>
          <w:rFonts w:ascii="Calibri" w:hAnsi="Calibri"/>
          <w:color w:val="525866"/>
          <w:sz w:val="22"/>
        </w:rPr>
        <w:t>Routine; no material governance change.</w:t>
      </w:r>
    </w:p>
    <w:p>
      <w:pPr>
        <w:pStyle w:val="ListBullet"/>
        <w:ind w:left="360" w:hanging="360"/>
      </w:pPr>
      <w:r>
        <w:rPr>
          <w:rFonts w:ascii="Calibri" w:hAnsi="Calibri"/>
          <w:b/>
          <w:color w:val="525866"/>
          <w:sz w:val="22"/>
        </w:rPr>
        <w:t xml:space="preserve">July 23, 2026: </w:t>
      </w:r>
      <w:r>
        <w:rPr>
          <w:rFonts w:ascii="Calibri" w:hAnsi="Calibri"/>
          <w:color w:val="525866"/>
          <w:sz w:val="22"/>
        </w:rPr>
        <w:t xml:space="preserve">President Trump expanded voluntary pledge with governors and utilities (including D and NEE) to shield consumers from higher utility bills from data center buildouts. </w:t>
      </w:r>
      <w:r>
        <w:rPr>
          <w:rFonts w:ascii="Calibri" w:hAnsi="Calibri"/>
          <w:i/>
          <w:color w:val="525866"/>
          <w:sz w:val="22"/>
        </w:rPr>
        <w:t xml:space="preserve">Implication: </w:t>
      </w:r>
      <w:r>
        <w:rPr>
          <w:rFonts w:ascii="Calibri" w:hAnsi="Calibri"/>
          <w:color w:val="525866"/>
          <w:sz w:val="22"/>
        </w:rPr>
        <w:t>Political tailwind for D’s large-load tariff framework; reinforces “large customers pay their fair share” narrative.</w:t>
      </w:r>
    </w:p>
    <w:p>
      <w:pPr>
        <w:pStyle w:val="ListBullet"/>
        <w:ind w:left="360" w:hanging="360"/>
      </w:pPr>
      <w:r>
        <w:rPr>
          <w:rFonts w:ascii="Calibri" w:hAnsi="Calibri"/>
          <w:b/>
          <w:color w:val="525866"/>
          <w:sz w:val="22"/>
        </w:rPr>
        <w:t xml:space="preserve">July 22, 2026: </w:t>
      </w:r>
      <w:r>
        <w:rPr>
          <w:rFonts w:ascii="Calibri" w:hAnsi="Calibri"/>
          <w:color w:val="525866"/>
          <w:sz w:val="22"/>
        </w:rPr>
        <w:t xml:space="preserve">A power line failure in Northern Virginia caused &gt;3 GW of data centers to simultaneously stop drawing power, causing voltage spikes across PJM from Northern Virginia to Chicago; grid took ~11 minutes to stabilize. </w:t>
      </w:r>
      <w:r>
        <w:rPr>
          <w:rFonts w:ascii="Calibri" w:hAnsi="Calibri"/>
          <w:i/>
          <w:color w:val="525866"/>
          <w:sz w:val="22"/>
        </w:rPr>
        <w:t xml:space="preserve">Implication: </w:t>
      </w:r>
      <w:r>
        <w:rPr>
          <w:rFonts w:ascii="Calibri" w:hAnsi="Calibri"/>
          <w:color w:val="525866"/>
          <w:sz w:val="22"/>
        </w:rPr>
        <w:t>Highlights grid reliability risk in D’s core service territory; could accelerate regulatory support for grid investment but also raises reliability scrutiny.</w:t>
      </w:r>
    </w:p>
    <w:p>
      <w:r>
        <w:br w:type="page"/>
      </w:r>
    </w:p>
    <w:p>
      <w:pPr>
        <w:pStyle w:val="Heading2"/>
      </w:pPr>
      <w:r>
        <w:rPr>
          <w:rFonts w:ascii="Calibri" w:hAnsi="Calibri"/>
          <w:b/>
          <w:color w:val="3B4259"/>
          <w:sz w:val="28"/>
        </w:rPr>
        <w:t>7. Peer Commentaries — Q2 2026 Current-Quarter Read-Through</w:t>
      </w:r>
    </w:p>
    <w:p>
      <w:r>
        <w:rPr>
          <w:rFonts w:ascii="Calibri" w:hAnsi="Calibri"/>
          <w:b/>
          <w:color w:val="525866"/>
          <w:sz w:val="22"/>
        </w:rPr>
        <w:t xml:space="preserve">Scope: </w:t>
      </w:r>
      <w:r>
        <w:rPr>
          <w:rFonts w:ascii="Calibri" w:hAnsi="Calibri"/>
          <w:color w:val="525866"/>
          <w:sz w:val="22"/>
        </w:rPr>
        <w:t>Includes only commentary from peers reporting Q2 2026 results (July 22–July 30, 2026) or post-Q1 forward-looking commentary made after May 1, 2026, that is directly relevant to Dominion’s Q2 2026 operating environment. Excludes historical prior-quarter results discussion.</w:t>
      </w:r>
    </w:p>
    <w:p>
      <w:pPr>
        <w:pStyle w:val="Heading3"/>
      </w:pPr>
      <w:r>
        <w:rPr>
          <w:rFonts w:ascii="Calibri" w:hAnsi="Calibri"/>
          <w:b/>
          <w:color w:val="3B4259"/>
          <w:sz w:val="24"/>
        </w:rPr>
        <w:t>NextEra Energy (NEE) — Q2 2026 Earnings Call (July 24, 2026)</w:t>
      </w:r>
    </w:p>
    <w:p>
      <w:r>
        <w:rPr>
          <w:rFonts w:ascii="Calibri" w:hAnsi="Calibri"/>
          <w:b/>
          <w:color w:val="525866"/>
          <w:sz w:val="22"/>
        </w:rPr>
        <w:t xml:space="preserve">Merger Update (Direct Read-Through): </w:t>
      </w:r>
      <w:r>
        <w:rPr>
          <w:rFonts w:ascii="Calibri" w:hAnsi="Calibri"/>
          <w:color w:val="525866"/>
          <w:sz w:val="22"/>
        </w:rPr>
        <w:t>NEE filed for merger approval with the Virginia SCC, NC Utilities Commission, and SC PSC on July 15, initiating Virginia’s statutory 6-month review. S-4 filed July 9, effective July 23. Shareholder meetings for both companies anticipated in early September 2026. NEE expects the combination to close in H2 2027 but is “looking for opportunities to move that up.” The combined company is expected to support ~11% annual growth in regulatory capital employed through 2032 and 9%+ adjusted EPS growth through 2032 and 2035, off a 2025 base. NEE is offering $2.25B in shareholder-funded bill credits to D customers in VA, NC, and SC.</w:t>
      </w:r>
    </w:p>
    <w:p>
      <w:r>
        <w:rPr>
          <w:rFonts w:ascii="Calibri" w:hAnsi="Calibri"/>
          <w:b/>
          <w:color w:val="525866"/>
          <w:sz w:val="22"/>
        </w:rPr>
        <w:t xml:space="preserve">Data Center Demand (Direct Read-Through): </w:t>
      </w:r>
      <w:r>
        <w:rPr>
          <w:rFonts w:ascii="Calibri" w:hAnsi="Calibri"/>
          <w:color w:val="525866"/>
          <w:sz w:val="22"/>
        </w:rPr>
        <w:t xml:space="preserve">FPL updated large load expectations from 6 GW to 8 GW by 2032 as part of its new 4-year rate agreement. FPL has ~21 GW of large load interest, with 12 GW in advanced discussions. NEE Energy Resources is discussing 30 potential data center hubs (expected to rise to 40 by year-end) and targets 15 GW of new generation to serve large load by 2035 (upside 30+ GW). Each GW of large load under FPL’s tariff is equivalent to ~$2B of CapEx. </w:t>
      </w:r>
      <w:r>
        <w:rPr>
          <w:rFonts w:ascii="Calibri" w:hAnsi="Calibri"/>
          <w:i/>
          <w:color w:val="525866"/>
          <w:sz w:val="22"/>
        </w:rPr>
        <w:t xml:space="preserve">Read-through for D: </w:t>
      </w:r>
      <w:r>
        <w:rPr>
          <w:rFonts w:ascii="Calibri" w:hAnsi="Calibri"/>
          <w:color w:val="525866"/>
          <w:sz w:val="22"/>
        </w:rPr>
        <w:t>Sustained, accelerating demand for data center power across the Southeast and Mid-Atlantic; validates D’s &gt;50 GW pipeline narrative.</w:t>
      </w:r>
    </w:p>
    <w:p>
      <w:r>
        <w:rPr>
          <w:rFonts w:ascii="Calibri" w:hAnsi="Calibri"/>
          <w:b/>
          <w:color w:val="525866"/>
          <w:sz w:val="22"/>
        </w:rPr>
        <w:t xml:space="preserve">Ratepayer Protection (Direct Read-Through): </w:t>
      </w:r>
      <w:r>
        <w:rPr>
          <w:rFonts w:ascii="Calibri" w:hAnsi="Calibri"/>
          <w:color w:val="525866"/>
          <w:sz w:val="22"/>
        </w:rPr>
        <w:t xml:space="preserve">NEE (along with D and other utilities) announced support for the White House’s Ratepayer Protection Pledge, reinforcing the “large load customers pay their fair share” principle. NEE believes FERC’s Section 206 show cause orders (announced June 2026) “will create yet another market shift and generate strong demand for the ability to match load with generation.” </w:t>
      </w:r>
      <w:r>
        <w:rPr>
          <w:rFonts w:ascii="Calibri" w:hAnsi="Calibri"/>
          <w:i/>
          <w:color w:val="525866"/>
          <w:sz w:val="22"/>
        </w:rPr>
        <w:t xml:space="preserve">Read-through for D: </w:t>
      </w:r>
      <w:r>
        <w:rPr>
          <w:rFonts w:ascii="Calibri" w:hAnsi="Calibri"/>
          <w:color w:val="525866"/>
          <w:sz w:val="22"/>
        </w:rPr>
        <w:t>Regulatory tailwind for D’s large-load tariff framework in Virginia; FERC action could accelerate cost recovery mechanisms.</w:t>
      </w:r>
    </w:p>
    <w:p>
      <w:pPr>
        <w:pStyle w:val="Heading3"/>
      </w:pPr>
      <w:r>
        <w:rPr>
          <w:rFonts w:ascii="Calibri" w:hAnsi="Calibri"/>
          <w:b/>
          <w:color w:val="3B4259"/>
          <w:sz w:val="24"/>
        </w:rPr>
        <w:t>Southern Company (SO) — Q2 2026 Earnings Call (July 30, 2026)</w:t>
      </w:r>
    </w:p>
    <w:p>
      <w:r>
        <w:rPr>
          <w:rFonts w:ascii="Calibri" w:hAnsi="Calibri"/>
          <w:b/>
          <w:color w:val="525866"/>
          <w:sz w:val="22"/>
        </w:rPr>
        <w:t xml:space="preserve">Data Center Demand (Positive Read-Through): </w:t>
      </w:r>
      <w:r>
        <w:rPr>
          <w:rFonts w:ascii="Calibri" w:hAnsi="Calibri"/>
          <w:color w:val="525866"/>
          <w:sz w:val="22"/>
        </w:rPr>
        <w:t xml:space="preserve">SO reported Q2 2026 adjusted EPS of $1.13, $0.13 above estimate, driven by increased usage and customer growth. System-wide data center load now exceeds 1.2 GW, up &gt;500 MW YoY. In Q2 alone, Alabama Power added ~3 GW of projects and Georgia Power signed a 25-year, 3.2 GW contract with OpenAI near Savannah. Total contracted large load agreements across electric subsidiaries now exceed 17 GW by the mid-2030s, with a prospective pipeline “well above 75 GW.” Weather-normal commercial sales grew 7.4% in Q2 2026. </w:t>
      </w:r>
      <w:r>
        <w:rPr>
          <w:rFonts w:ascii="Calibri" w:hAnsi="Calibri"/>
          <w:i/>
          <w:color w:val="525866"/>
          <w:sz w:val="22"/>
        </w:rPr>
        <w:t xml:space="preserve">Read-through for D: </w:t>
      </w:r>
      <w:r>
        <w:rPr>
          <w:rFonts w:ascii="Calibri" w:hAnsi="Calibri"/>
          <w:color w:val="525866"/>
          <w:sz w:val="22"/>
        </w:rPr>
        <w:t>Broad-based, accelerating data center demand across the Southeast is a strong positive signal for D’s Virginia territory. SO’s $21B of collateral backing its 17 GW portfolio validates D’s large-load contracting discipline.</w:t>
      </w:r>
    </w:p>
    <w:p>
      <w:r>
        <w:rPr>
          <w:rFonts w:ascii="Calibri" w:hAnsi="Calibri"/>
          <w:b/>
          <w:color w:val="525866"/>
          <w:sz w:val="22"/>
        </w:rPr>
        <w:t xml:space="preserve">Regulatory Framework (Positive Read-Through): </w:t>
      </w:r>
      <w:r>
        <w:rPr>
          <w:rFonts w:ascii="Calibri" w:hAnsi="Calibri"/>
          <w:color w:val="525866"/>
          <w:sz w:val="22"/>
        </w:rPr>
        <w:t xml:space="preserve">SO’s large customer contracts include minimum bills covering ≥100% of incremental cost to serve, termination payments, and significant collateral requirements. Retail base rates held stable in Georgia and Alabama until 2029. OpenAI contract includes 1 GW of flexible demand response — first time for a data center. </w:t>
      </w:r>
      <w:r>
        <w:rPr>
          <w:rFonts w:ascii="Calibri" w:hAnsi="Calibri"/>
          <w:i/>
          <w:color w:val="525866"/>
          <w:sz w:val="22"/>
        </w:rPr>
        <w:t xml:space="preserve">Read-through for D: </w:t>
      </w:r>
      <w:r>
        <w:rPr>
          <w:rFonts w:ascii="Calibri" w:hAnsi="Calibri"/>
          <w:color w:val="525866"/>
          <w:sz w:val="22"/>
        </w:rPr>
        <w:t>Provides a template for D’s own large-load contracting and customer protection framework in Virginia.</w:t>
      </w:r>
    </w:p>
    <w:p>
      <w:pPr>
        <w:pStyle w:val="Heading3"/>
      </w:pPr>
      <w:r>
        <w:rPr>
          <w:rFonts w:ascii="Calibri" w:hAnsi="Calibri"/>
          <w:b/>
          <w:color w:val="3B4259"/>
          <w:sz w:val="24"/>
        </w:rPr>
        <w:t>American Electric Power (AEP) — Q2 2026 Earnings Call (July 30, 2026)</w:t>
      </w:r>
    </w:p>
    <w:p>
      <w:r>
        <w:rPr>
          <w:rFonts w:ascii="Calibri" w:hAnsi="Calibri"/>
          <w:b/>
          <w:color w:val="525866"/>
          <w:sz w:val="22"/>
        </w:rPr>
        <w:t xml:space="preserve">Guidance Raise (Positive Read-Through): </w:t>
      </w:r>
      <w:r>
        <w:rPr>
          <w:rFonts w:ascii="Calibri" w:hAnsi="Calibri"/>
          <w:color w:val="525866"/>
          <w:sz w:val="22"/>
        </w:rPr>
        <w:t xml:space="preserve">AEP raised FY 2026 operating EPS guidance to $6.25–$6.55 (from $6.15–$6.45), citing robust electricity demand from data centers and large customers. AEP contracted an additional 6 GW of load in Q2 2026, bringing total contracted load additions through 2030 to 69 GW (up from 63 GW). Virginia specifically accounts for a portion of the remaining 12 GW across OK, IN, KY, LA, and VA. </w:t>
      </w:r>
      <w:r>
        <w:rPr>
          <w:rFonts w:ascii="Calibri" w:hAnsi="Calibri"/>
          <w:i/>
          <w:color w:val="525866"/>
          <w:sz w:val="22"/>
        </w:rPr>
        <w:t xml:space="preserve">Read-through for D: </w:t>
      </w:r>
      <w:r>
        <w:rPr>
          <w:rFonts w:ascii="Calibri" w:hAnsi="Calibri"/>
          <w:color w:val="525866"/>
          <w:sz w:val="22"/>
        </w:rPr>
        <w:t>AEP’s guidance raise on data center demand strength is a direct positive read-through for D’s Virginia load growth narrative. AEP received approval for its large-load tariff in Virginia in June 2026 — a regulatory precedent in D’s home state.</w:t>
      </w:r>
    </w:p>
    <w:p>
      <w:r>
        <w:rPr>
          <w:rFonts w:ascii="Calibri" w:hAnsi="Calibri"/>
          <w:b/>
          <w:color w:val="525866"/>
          <w:sz w:val="22"/>
        </w:rPr>
        <w:t xml:space="preserve">Capital &amp; PJM (Positive Read-Through): </w:t>
      </w:r>
      <w:r>
        <w:rPr>
          <w:rFonts w:ascii="Calibri" w:hAnsi="Calibri"/>
          <w:color w:val="525866"/>
          <w:sz w:val="22"/>
        </w:rPr>
        <w:t xml:space="preserve">AEP secured an additional 3 GW of gas turbines in Q2, bringing total secured capacity to ~13 GW through 2031. AEP is “very optimistic” about PJM alignment on governance, interconnect speed, and resource adequacy following the July 23 Technical Conference. AEP projects up to $16B of fixed cost offsets for residential customers from new large-load interconnections. </w:t>
      </w:r>
      <w:r>
        <w:rPr>
          <w:rFonts w:ascii="Calibri" w:hAnsi="Calibri"/>
          <w:i/>
          <w:color w:val="525866"/>
          <w:sz w:val="22"/>
        </w:rPr>
        <w:t xml:space="preserve">Read-through for D: </w:t>
      </w:r>
      <w:r>
        <w:rPr>
          <w:rFonts w:ascii="Calibri" w:hAnsi="Calibri"/>
          <w:color w:val="525866"/>
          <w:sz w:val="22"/>
        </w:rPr>
        <w:t>PJM governance progress is a positive for D’s interconnection queue and data center infrastructure build-out in Northern Virginia.</w:t>
      </w:r>
    </w:p>
    <w:p>
      <w:pPr>
        <w:pStyle w:val="Heading3"/>
      </w:pPr>
      <w:r>
        <w:rPr>
          <w:rFonts w:ascii="Calibri" w:hAnsi="Calibri"/>
          <w:b/>
          <w:color w:val="3B4259"/>
          <w:sz w:val="24"/>
        </w:rPr>
        <w:t>Entergy (ETR) — Q2 2026 Earnings Call (July 29, 2026)</w:t>
      </w:r>
    </w:p>
    <w:p>
      <w:r>
        <w:rPr>
          <w:rFonts w:ascii="Calibri" w:hAnsi="Calibri"/>
          <w:b/>
          <w:color w:val="525866"/>
          <w:sz w:val="22"/>
        </w:rPr>
        <w:t xml:space="preserve">Data Center Pipeline (Positive Read-Through): </w:t>
      </w:r>
      <w:r>
        <w:rPr>
          <w:rFonts w:ascii="Calibri" w:hAnsi="Calibri"/>
          <w:color w:val="525866"/>
          <w:sz w:val="22"/>
        </w:rPr>
        <w:t xml:space="preserve">ETR maintains 7–12 GW of hyperscale data center potential in its pipeline plus 3–5 GW of traditional industrial interest. CEO Drew Marsh noted the “front end of our funnel continues to be very, very active” and the actual queue size is “much, much greater” than the 7–12 GW figure. Louisiana Governor signed an executive order in late June 2026 requiring new data centers to provide customer benefits, invest in grid resilience, and maintain transparency — consistent with ETR’s “Fair Share Plus” pledge. S&amp;P noted ETR’s “credit profile appears positioned to benefit from data center expansion as a result of disciplined contracting and constructive regulatory tools.” </w:t>
      </w:r>
      <w:r>
        <w:rPr>
          <w:rFonts w:ascii="Calibri" w:hAnsi="Calibri"/>
          <w:i/>
          <w:color w:val="525866"/>
          <w:sz w:val="22"/>
        </w:rPr>
        <w:t xml:space="preserve">Read-through for D: </w:t>
      </w:r>
      <w:r>
        <w:rPr>
          <w:rFonts w:ascii="Calibri" w:hAnsi="Calibri"/>
          <w:color w:val="525866"/>
          <w:sz w:val="22"/>
        </w:rPr>
        <w:t>Sustained demand growth and state-level regulatory frameworks protecting customers are consistent with D’s Virginia positioning.</w:t>
      </w:r>
    </w:p>
    <w:p>
      <w:r>
        <w:rPr>
          <w:rFonts w:ascii="Calibri" w:hAnsi="Calibri"/>
          <w:b/>
          <w:color w:val="525866"/>
          <w:sz w:val="22"/>
        </w:rPr>
        <w:t xml:space="preserve">New Nuclear (Mixed Read-Through): </w:t>
      </w:r>
      <w:r>
        <w:rPr>
          <w:rFonts w:ascii="Calibri" w:hAnsi="Calibri"/>
          <w:color w:val="525866"/>
          <w:sz w:val="22"/>
        </w:rPr>
        <w:t xml:space="preserve">ETR is cautious on new nuclear deployment, stating “we’re making progress on that, but I don’t think we’re near where we need to be just yet to be successful in launching.” Timeline is “customer led.” </w:t>
      </w:r>
      <w:r>
        <w:rPr>
          <w:rFonts w:ascii="Calibri" w:hAnsi="Calibri"/>
          <w:i/>
          <w:color w:val="525866"/>
          <w:sz w:val="22"/>
        </w:rPr>
        <w:t xml:space="preserve">Read-through for D: </w:t>
      </w:r>
      <w:r>
        <w:rPr>
          <w:rFonts w:ascii="Calibri" w:hAnsi="Calibri"/>
          <w:color w:val="525866"/>
          <w:sz w:val="22"/>
        </w:rPr>
        <w:t>Validates D’s own conservative SMR timeline (delayed 5 years in IRP); new nuclear remains a long-dated option, not a near-term catalyst.</w:t>
      </w:r>
    </w:p>
    <w:p>
      <w:pPr>
        <w:pStyle w:val="Heading3"/>
      </w:pPr>
      <w:r>
        <w:rPr>
          <w:rFonts w:ascii="Calibri" w:hAnsi="Calibri"/>
          <w:b/>
          <w:color w:val="3B4259"/>
          <w:sz w:val="24"/>
        </w:rPr>
        <w:t>Exelon (EXC) — Q2 2026 Earnings Call (July 30, 2026)</w:t>
      </w:r>
    </w:p>
    <w:p>
      <w:r>
        <w:rPr>
          <w:rFonts w:ascii="Calibri" w:hAnsi="Calibri"/>
          <w:b/>
          <w:color w:val="525866"/>
          <w:sz w:val="22"/>
        </w:rPr>
        <w:t xml:space="preserve">PJM Grid Stress (Mixed Read-Through): </w:t>
      </w:r>
      <w:r>
        <w:rPr>
          <w:rFonts w:ascii="Calibri" w:hAnsi="Calibri"/>
          <w:color w:val="525866"/>
          <w:sz w:val="22"/>
        </w:rPr>
        <w:t xml:space="preserve">PJM hit a record peak demand of 168 GW in July 2026, activating emergency procedures; power prices surged ~10x from ~$80 to ~$800/MWh. The most recent PJM capacity auction cleared at the FERC-approved price cap for the third consecutive auction, yet fell short of PJM’s reliability requirement by ~6.8 GW (equivalent to ~7 nuclear reactors). PJM’s own simulation shows prices would have cleared at ~$555/MW-day absent the cap. </w:t>
      </w:r>
      <w:r>
        <w:rPr>
          <w:rFonts w:ascii="Calibri" w:hAnsi="Calibri"/>
          <w:i/>
          <w:color w:val="525866"/>
          <w:sz w:val="22"/>
        </w:rPr>
        <w:t xml:space="preserve">Read-through for D: </w:t>
      </w:r>
      <w:r>
        <w:rPr>
          <w:rFonts w:ascii="Calibri" w:hAnsi="Calibri"/>
          <w:color w:val="525866"/>
          <w:sz w:val="22"/>
        </w:rPr>
        <w:t>PJM resource adequacy stress is a double-edged sword for D — it accelerates regulatory support for new generation investment in Virginia but also raises near-term reliability risk in D’s core service territory (Northern Virginia data center corridor).</w:t>
      </w:r>
    </w:p>
    <w:p>
      <w:r>
        <w:rPr>
          <w:rFonts w:ascii="Calibri" w:hAnsi="Calibri"/>
          <w:b/>
          <w:color w:val="525866"/>
          <w:sz w:val="22"/>
        </w:rPr>
        <w:t xml:space="preserve">Data Center Quality Control (Cautionary Read-Through): </w:t>
      </w:r>
      <w:r>
        <w:rPr>
          <w:rFonts w:ascii="Calibri" w:hAnsi="Calibri"/>
          <w:color w:val="525866"/>
          <w:sz w:val="22"/>
        </w:rPr>
        <w:t xml:space="preserve">EXC revised its data center growth projections from 43 GW to 36 GW by “weeding out speculative projects” through transmission security agreements (TSAs) requiring $1B of collateral for 4 GW of signed TSAs. </w:t>
      </w:r>
      <w:r>
        <w:rPr>
          <w:rFonts w:ascii="Calibri" w:hAnsi="Calibri"/>
          <w:i/>
          <w:color w:val="525866"/>
          <w:sz w:val="22"/>
        </w:rPr>
        <w:t xml:space="preserve">Read-through for D: </w:t>
      </w:r>
      <w:r>
        <w:rPr>
          <w:rFonts w:ascii="Calibri" w:hAnsi="Calibri"/>
          <w:color w:val="525866"/>
          <w:sz w:val="22"/>
        </w:rPr>
        <w:t>A portion of D’s &gt;50 GW pipeline may be speculative; investors may probe the quality and commitment level of D’s contracted vs. pipeline capacity on the Q2 call.</w:t>
      </w:r>
    </w:p>
    <w:p>
      <w:pPr>
        <w:pStyle w:val="Heading3"/>
      </w:pPr>
      <w:r>
        <w:rPr>
          <w:rFonts w:ascii="Calibri" w:hAnsi="Calibri"/>
          <w:b/>
          <w:color w:val="3B4259"/>
          <w:sz w:val="24"/>
        </w:rPr>
        <w:t>Xcel Energy (XEL) — Q2 2026 Earnings Call (July 29–30, 2026)</w:t>
      </w:r>
    </w:p>
    <w:p>
      <w:r>
        <w:rPr>
          <w:rFonts w:ascii="Calibri" w:hAnsi="Calibri"/>
          <w:b/>
          <w:color w:val="525866"/>
          <w:sz w:val="22"/>
        </w:rPr>
        <w:t xml:space="preserve">Large-Load Tariff Framework (Positive Read-Through): </w:t>
      </w:r>
      <w:r>
        <w:rPr>
          <w:rFonts w:ascii="Calibri" w:hAnsi="Calibri"/>
          <w:color w:val="525866"/>
          <w:sz w:val="22"/>
        </w:rPr>
        <w:t xml:space="preserve">XEL received approval for its large-load tariff in Minnesota and filed additional tariffs in Colorado and Wisconsin; plans to file in Texas and New Mexico in Q3 2026. XEL has 1 GW of data centers in operation or under construction, 1 GW under signed ESAs, and expects to secure an additional 4 GW by year-end 2027. XEL estimates $5–$6B of generation investment per GW of data center load. XEL has secured ~85% of its $7B 5-year equity need (~$6B) through equity forwards, call contracts, ATM programs, and junior sub-note issuances. </w:t>
      </w:r>
      <w:r>
        <w:rPr>
          <w:rFonts w:ascii="Calibri" w:hAnsi="Calibri"/>
          <w:i/>
          <w:color w:val="525866"/>
          <w:sz w:val="22"/>
        </w:rPr>
        <w:t xml:space="preserve">Read-through for D: </w:t>
      </w:r>
      <w:r>
        <w:rPr>
          <w:rFonts w:ascii="Calibri" w:hAnsi="Calibri"/>
          <w:color w:val="525866"/>
          <w:sz w:val="22"/>
        </w:rPr>
        <w:t>XEL’s proactive tariff strategy and financing execution provide a benchmark for D’s own regulatory and capital market approach. The $5–$6B/GW generation investment figure is consistent with SO’s ~$2B/GW (generation only) and validates D’s large capital plan.</w:t>
      </w:r>
    </w:p>
    <w:p>
      <w:pPr>
        <w:pStyle w:val="Heading3"/>
      </w:pPr>
      <w:r>
        <w:rPr>
          <w:rFonts w:ascii="Calibri" w:hAnsi="Calibri"/>
          <w:b/>
          <w:color w:val="3B4259"/>
          <w:sz w:val="24"/>
        </w:rPr>
        <w:t>PG&amp;E (PCG) — Q2 2026 Earnings Call (July 23, 2026)</w:t>
      </w:r>
    </w:p>
    <w:p>
      <w:r>
        <w:rPr>
          <w:rFonts w:ascii="Calibri" w:hAnsi="Calibri"/>
          <w:b/>
          <w:color w:val="525866"/>
          <w:sz w:val="22"/>
        </w:rPr>
        <w:t xml:space="preserve">Data Center Pipeline Quality (Cautionary Read-Through): </w:t>
      </w:r>
      <w:r>
        <w:rPr>
          <w:rFonts w:ascii="Calibri" w:hAnsi="Calibri"/>
          <w:color w:val="525866"/>
          <w:sz w:val="22"/>
        </w:rPr>
        <w:t xml:space="preserve">PCG’s data center pipeline grew to &gt;12 GW but the company is now requiring a signed work performance agreement and ~10% of project costs as financial commitment before projects advance to final engineering. PCG expects only ~1.8 GW online by 2030 from its current pipeline. </w:t>
      </w:r>
      <w:r>
        <w:rPr>
          <w:rFonts w:ascii="Calibri" w:hAnsi="Calibri"/>
          <w:i/>
          <w:color w:val="525866"/>
          <w:sz w:val="22"/>
        </w:rPr>
        <w:t xml:space="preserve">Read-through for D: </w:t>
      </w:r>
      <w:r>
        <w:rPr>
          <w:rFonts w:ascii="Calibri" w:hAnsi="Calibri"/>
          <w:color w:val="525866"/>
          <w:sz w:val="22"/>
        </w:rPr>
        <w:t>Reinforces EXC’s message — large pipeline numbers require scrutiny on commitment quality. D’s 10.4 GW under signed ESAs is the more credible near-term figure vs. the 50+ GW total pipeline.</w:t>
      </w:r>
    </w:p>
    <w:p>
      <w:pPr>
        <w:pStyle w:val="Heading3"/>
      </w:pPr>
      <w:r>
        <w:rPr>
          <w:rFonts w:ascii="Calibri" w:hAnsi="Calibri"/>
          <w:b/>
          <w:color w:val="3B4259"/>
          <w:sz w:val="24"/>
        </w:rPr>
        <w:t>GE Vernova (GEV) — Q2 2026 Earnings (July 22, 2026)</w:t>
      </w:r>
    </w:p>
    <w:p>
      <w:r>
        <w:rPr>
          <w:rFonts w:ascii="Calibri" w:hAnsi="Calibri"/>
          <w:b/>
          <w:color w:val="525866"/>
          <w:sz w:val="22"/>
        </w:rPr>
        <w:t xml:space="preserve">Power Equipment Demand (Positive Read-Through): </w:t>
      </w:r>
      <w:r>
        <w:rPr>
          <w:rFonts w:ascii="Calibri" w:hAnsi="Calibri"/>
          <w:color w:val="525866"/>
          <w:sz w:val="22"/>
        </w:rPr>
        <w:t xml:space="preserve">GEV raised FY 2026 revenue guidance to $45.5–$46.5B (from $44.5–$45.5B) and cash flow guidance to $11.5–$12.5B (from $6.5–$7.5B). Organic orders surged 88% to $24.2B in Q2 with backlog spiking. Commentary confirmed “the data center boom isn’t slowing one bit.” </w:t>
      </w:r>
      <w:r>
        <w:rPr>
          <w:rFonts w:ascii="Calibri" w:hAnsi="Calibri"/>
          <w:i/>
          <w:color w:val="525866"/>
          <w:sz w:val="22"/>
        </w:rPr>
        <w:t xml:space="preserve">Read-through for D: </w:t>
      </w:r>
      <w:r>
        <w:rPr>
          <w:rFonts w:ascii="Calibri" w:hAnsi="Calibri"/>
          <w:color w:val="525866"/>
          <w:sz w:val="22"/>
        </w:rPr>
        <w:t>Strong power equipment demand validates D’s capital deployment thesis; however, tight equipment markets (turbines, transformers) could pressure D’s CVOW and generation build-out timelines and costs.</w:t>
      </w:r>
    </w:p>
    <w:p>
      <w:pPr>
        <w:pStyle w:val="Heading3"/>
      </w:pPr>
      <w:r>
        <w:rPr>
          <w:rFonts w:ascii="Calibri" w:hAnsi="Calibri"/>
          <w:b/>
          <w:color w:val="3B4259"/>
          <w:sz w:val="24"/>
        </w:rPr>
        <w:t>Ameren (AEE) — Q2 2026 Earnings (July 30, 2026)</w:t>
      </w:r>
    </w:p>
    <w:p>
      <w:r>
        <w:rPr>
          <w:rFonts w:ascii="Calibri" w:hAnsi="Calibri"/>
          <w:b/>
          <w:color w:val="525866"/>
          <w:sz w:val="22"/>
        </w:rPr>
        <w:t xml:space="preserve">Capacity Planning (Informational Read-Through): </w:t>
      </w:r>
      <w:r>
        <w:rPr>
          <w:rFonts w:ascii="Calibri" w:hAnsi="Calibri"/>
          <w:color w:val="525866"/>
          <w:sz w:val="22"/>
        </w:rPr>
        <w:t xml:space="preserve">AEE’s planned 2,100 MW West Alton Energy Center (expected online late 2031) would not fully restore reserve cushion — AEE estimates a ~1,500 MW capacity shortfall in winter 2032 after the plant comes online, growing to ~2,300 MW in 2033. AEE signed data center contracts with Amazon and Google in rural Missouri. </w:t>
      </w:r>
      <w:r>
        <w:rPr>
          <w:rFonts w:ascii="Calibri" w:hAnsi="Calibri"/>
          <w:i/>
          <w:color w:val="525866"/>
          <w:sz w:val="22"/>
        </w:rPr>
        <w:t xml:space="preserve">Read-through for D: </w:t>
      </w:r>
      <w:r>
        <w:rPr>
          <w:rFonts w:ascii="Calibri" w:hAnsi="Calibri"/>
          <w:color w:val="525866"/>
          <w:sz w:val="22"/>
        </w:rPr>
        <w:t>Capacity shortfalls are a sector-wide theme; D’s CVOW completion and new generation pipeline are critical to avoiding similar resource adequacy gaps in Virginia.</w:t>
      </w:r>
    </w:p>
    <w:p>
      <w:r>
        <w:br w:type="page"/>
      </w:r>
    </w:p>
    <w:p>
      <w:pPr>
        <w:pStyle w:val="Heading2"/>
      </w:pPr>
      <w:r>
        <w:rPr>
          <w:rFonts w:ascii="Calibri" w:hAnsi="Calibri"/>
          <w:b/>
          <w:color w:val="3B4259"/>
          <w:sz w:val="28"/>
        </w:rPr>
        <w:t>8. Insider Transaction Activity (Since May 1, 2026)</w:t>
      </w:r>
    </w:p>
    <w:p>
      <w:r>
        <w:rPr>
          <w:rFonts w:ascii="Calibri" w:hAnsi="Calibri"/>
          <w:b/>
          <w:color w:val="525866"/>
          <w:sz w:val="22"/>
        </w:rPr>
        <w:t xml:space="preserve">Key Takeaway: </w:t>
      </w:r>
      <w:r>
        <w:rPr>
          <w:rFonts w:ascii="Calibri" w:hAnsi="Calibri"/>
          <w:color w:val="525866"/>
          <w:sz w:val="22"/>
        </w:rPr>
        <w:t>No open-market insider buys or discretionary sells were identified for D in the post-Q1 window. The absence of insider selling is notable given the stock’s ~10% run since the merger announcement — insiders appear to be holding, consistent with confidence in the deal closing at the stated exchange ratio.</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open-market buys or sells identified for D (May 1 – July 30, 2026)</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SEC Form 4 search returned no P/S coded transactions for D in the window. Multiple Form 4 filings were identified in the SEC EDGAR system (10 filings in late May 2026) but appear to be award/grant-related (non-open-market). Merger agreement restricts certain insider transactions pending close.</w:t>
            </w:r>
          </w:p>
        </w:tc>
      </w:tr>
    </w:tbl>
    <w:p>
      <w:r>
        <w:rPr>
          <w:rFonts w:ascii="Calibri" w:hAnsi="Calibri"/>
          <w:i/>
          <w:color w:val="525866"/>
          <w:sz w:val="22"/>
        </w:rPr>
        <w:t xml:space="preserve">Context: </w:t>
      </w:r>
      <w:r>
        <w:rPr>
          <w:rFonts w:ascii="Calibri" w:hAnsi="Calibri"/>
          <w:i/>
          <w:color w:val="525866"/>
          <w:sz w:val="22"/>
        </w:rPr>
        <w:t>The merger agreement (signed May 15, 2026) contains customary pre-closing covenants restricting both parties from taking certain actions without the other’s consent, which may limit discretionary insider transactions. The 10 Form 4 filings identified in late May 2026 (SEC EDGAR) are consistent with post-annual-meeting equity award grants rather than open-market activity.</w:t>
      </w:r>
    </w:p>
    <w:p>
      <w:r>
        <w:br w:type="page"/>
      </w:r>
    </w:p>
    <w:p>
      <w:pPr>
        <w:pStyle w:val="Heading2"/>
      </w:pPr>
      <w:r>
        <w:rPr>
          <w:rFonts w:ascii="Calibri" w:hAnsi="Calibri"/>
          <w:b/>
          <w:color w:val="3B4259"/>
          <w:sz w:val="28"/>
        </w:rPr>
        <w:t>9. Key Risks</w:t>
      </w:r>
    </w:p>
    <w:p>
      <w:pPr>
        <w:pStyle w:val="ListBullet"/>
        <w:ind w:left="360" w:hanging="360"/>
      </w:pPr>
      <w:r>
        <w:rPr>
          <w:rFonts w:ascii="Calibri" w:hAnsi="Calibri"/>
          <w:b/>
          <w:color w:val="525866"/>
          <w:sz w:val="22"/>
        </w:rPr>
        <w:t xml:space="preserve">Merger Regulatory Risk: </w:t>
      </w:r>
      <w:r>
        <w:rPr>
          <w:rFonts w:ascii="Calibri" w:hAnsi="Calibri"/>
          <w:color w:val="525866"/>
          <w:sz w:val="22"/>
        </w:rPr>
        <w:t>The NEE/D merger requires approvals from the Virginia SCC, NC Utilities Commission, SC PSC, FERC, and NRC. Virginia’s statutory 6-month review (initiated July 15) runs through approximately January 2026. A “Burdensome Condition” imposed by any regulator could trigger deal renegotiation or termination. If terminated for regulatory failure, NEE owes D $4.83B; if terminated for other reasons, NEE owes D $6.52B.</w:t>
      </w:r>
    </w:p>
    <w:p>
      <w:pPr>
        <w:pStyle w:val="ListBullet"/>
        <w:ind w:left="360" w:hanging="360"/>
      </w:pPr>
      <w:r>
        <w:rPr>
          <w:rFonts w:ascii="Calibri" w:hAnsi="Calibri"/>
          <w:b/>
          <w:color w:val="525866"/>
          <w:sz w:val="22"/>
        </w:rPr>
        <w:t xml:space="preserve">CVOW Cost Overrun Risk: </w:t>
      </w:r>
      <w:r>
        <w:rPr>
          <w:rFonts w:ascii="Calibri" w:hAnsi="Calibri"/>
          <w:color w:val="525866"/>
          <w:sz w:val="22"/>
        </w:rPr>
        <w:t>The project budget stands at $11.4B with only $123M of unused contingency. Steel/aluminum tariff exposure is estimated at ~$200M. If the project extends beyond July 2027, each additional quarter adds $150M–$200M to cost. Any cost above the approved budget that cannot be recovered from customers flows through to shareholders via the cost-sharing mechanism.</w:t>
      </w:r>
    </w:p>
    <w:p>
      <w:pPr>
        <w:pStyle w:val="ListBullet"/>
        <w:ind w:left="360" w:hanging="360"/>
      </w:pPr>
      <w:r>
        <w:rPr>
          <w:rFonts w:ascii="Calibri" w:hAnsi="Calibri"/>
          <w:b/>
          <w:color w:val="525866"/>
          <w:sz w:val="22"/>
        </w:rPr>
        <w:t xml:space="preserve">PJM Capacity &amp; Resource Adequacy: </w:t>
      </w:r>
      <w:r>
        <w:rPr>
          <w:rFonts w:ascii="Calibri" w:hAnsi="Calibri"/>
          <w:color w:val="525866"/>
          <w:sz w:val="22"/>
        </w:rPr>
        <w:t>PJM hit record peak demand of 168 GW in July 2026 and fell short of its reliability requirement by ~6.8 GW in the most recent capacity auction. Northern Virginia’s data center concentration creates concentrated load risk (as evidenced by the July 22 grid disturbance). Failure to secure adequate capacity could trigger regulatory scrutiny of D’s resource planning.</w:t>
      </w:r>
    </w:p>
    <w:p>
      <w:pPr>
        <w:pStyle w:val="ListBullet"/>
        <w:ind w:left="360" w:hanging="360"/>
      </w:pPr>
      <w:r>
        <w:rPr>
          <w:rFonts w:ascii="Calibri" w:hAnsi="Calibri"/>
          <w:b/>
          <w:color w:val="525866"/>
          <w:sz w:val="22"/>
        </w:rPr>
        <w:t xml:space="preserve">Data Center Pipeline Quality: </w:t>
      </w:r>
      <w:r>
        <w:rPr>
          <w:rFonts w:ascii="Calibri" w:hAnsi="Calibri"/>
          <w:color w:val="525866"/>
          <w:sz w:val="22"/>
        </w:rPr>
        <w:t>D’s &gt;50 GW pipeline includes projects in various stages of contracting; only ~10.4 GW is under signed ESAs. Peers (EXC, PCG) have demonstrated that large pipeline numbers can include significant speculative interest. A slowdown in data center commitments or hyperscaler pushback on tariff terms (as seen in other regions) could reduce D’s load growth outlook.</w:t>
      </w:r>
    </w:p>
    <w:p>
      <w:pPr>
        <w:pStyle w:val="ListBullet"/>
        <w:ind w:left="360" w:hanging="360"/>
      </w:pPr>
      <w:r>
        <w:rPr>
          <w:rFonts w:ascii="Calibri" w:hAnsi="Calibri"/>
          <w:b/>
          <w:color w:val="525866"/>
          <w:sz w:val="22"/>
        </w:rPr>
        <w:t xml:space="preserve">Interest Rate &amp; Financing Risk: </w:t>
      </w:r>
      <w:r>
        <w:rPr>
          <w:rFonts w:ascii="Calibri" w:hAnsi="Calibri"/>
          <w:color w:val="525866"/>
          <w:sz w:val="22"/>
        </w:rPr>
        <w:t>D’s $65B 5-year capital plan requires substantial ongoing financing. The June 2026 junior subordinated notes issuance ($1.5B) and ATM equity program ($400M–$600M remaining for 2026) are key funding mechanisms. Rising rates increase the cost of capital and pressure the FFO/debt ratio, which consensus already shows below the &gt;15% management target at ~12.7% for FY 2026.</w:t>
      </w:r>
    </w:p>
    <w:p>
      <w:pPr>
        <w:pStyle w:val="ListBullet"/>
        <w:ind w:left="360" w:hanging="360"/>
      </w:pPr>
      <w:r>
        <w:rPr>
          <w:rFonts w:ascii="Calibri" w:hAnsi="Calibri"/>
          <w:b/>
          <w:color w:val="525866"/>
          <w:sz w:val="22"/>
        </w:rPr>
        <w:t xml:space="preserve">Regulatory Rate Case Risk: </w:t>
      </w:r>
      <w:r>
        <w:rPr>
          <w:rFonts w:ascii="Calibri" w:hAnsi="Calibri"/>
          <w:color w:val="525866"/>
          <w:sz w:val="22"/>
        </w:rPr>
        <w:t>DESC (South Carolina) electric rate case decision expected late June 2026 (rates effective July); Dominion Energy North Carolina rate case filed April 30, 2026, with decision expected February 2027. Adverse outcomes could reduce near-term earnings and slow capital recovery.</w:t>
      </w:r>
    </w:p>
    <w:p>
      <w:pPr>
        <w:pStyle w:val="ListBullet"/>
        <w:ind w:left="360" w:hanging="360"/>
      </w:pPr>
      <w:r>
        <w:rPr>
          <w:rFonts w:ascii="Calibri" w:hAnsi="Calibri"/>
          <w:b/>
          <w:color w:val="525866"/>
          <w:sz w:val="22"/>
        </w:rPr>
        <w:t xml:space="preserve">Millstone Recontracting: </w:t>
      </w:r>
      <w:r>
        <w:rPr>
          <w:rFonts w:ascii="Calibri" w:hAnsi="Calibri"/>
          <w:color w:val="525866"/>
          <w:sz w:val="22"/>
        </w:rPr>
        <w:t>Connecticut DEEP solicitation decisions for Millstone’s zero-carbon RFP bid were expected in Q2 2026, with negotiations beginning in Q3. Failure to secure a long-term contract would remove a potential upside catalyst to the long-term growth rate.</w:t>
      </w:r>
    </w:p>
    <w:p>
      <w:pPr>
        <w:pStyle w:val="ListBullet"/>
        <w:ind w:left="360" w:hanging="360"/>
      </w:pPr>
      <w:r>
        <w:rPr>
          <w:rFonts w:ascii="Calibri" w:hAnsi="Calibri"/>
          <w:b/>
          <w:color w:val="525866"/>
          <w:sz w:val="22"/>
        </w:rPr>
        <w:t xml:space="preserve">Merger Execution Risk (Post-Close): </w:t>
      </w:r>
      <w:r>
        <w:rPr>
          <w:rFonts w:ascii="Calibri" w:hAnsi="Calibri"/>
          <w:color w:val="525866"/>
          <w:sz w:val="22"/>
        </w:rPr>
        <w:t>The combined NEE/D entity targets 9%+ adjusted EPS growth through 2032–35. Integration complexity, regulatory conditions imposed at close, and the need to maintain D’s standalone credit metrics during the transition period all represent execution risks.</w:t>
      </w:r>
    </w:p>
    <w:p>
      <w:r>
        <w:br w:type="page"/>
      </w:r>
    </w:p>
    <w:p>
      <w:pPr>
        <w:pStyle w:val="Heading2"/>
      </w:pPr>
      <w:r>
        <w:rPr>
          <w:rFonts w:ascii="Calibri" w:hAnsi="Calibri"/>
          <w:b/>
          <w:color w:val="3B4259"/>
          <w:sz w:val="28"/>
        </w:rPr>
        <w:t>Appendix: Earnings Revision Momentum — Q2 2026 Operating EPS</w:t>
      </w:r>
    </w:p>
    <w:p>
      <w:r>
        <w:rPr>
          <w:rFonts w:ascii="Calibri" w:hAnsi="Calibri"/>
          <w:color w:val="525866"/>
          <w:sz w:val="22"/>
        </w:rPr>
        <w:t>The table below shows the trailing 12-month consensus operating EPS estimate trajectory for D’s Q2 2026 (the current unreported quarter ending June 30, 2026), alongside the stock price at each month-end. Source: Visible Alpha Consensus and Actuals Data.</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Month-End</w:t>
            </w:r>
          </w:p>
        </w:tc>
        <w:tc>
          <w:tcPr>
            <w:tcW w:type="dxa" w:w="2880"/>
            <w:shd w:val="clear" w:color="auto" w:fill="3B4259"/>
          </w:tcPr>
          <w:p>
            <w:r>
              <w:rPr>
                <w:rFonts w:ascii="Calibri" w:hAnsi="Calibri"/>
                <w:b/>
                <w:color w:val="FFFFFF"/>
                <w:sz w:val="22"/>
              </w:rPr>
              <w:t>Q2 2026 EPS Consensus Est.</w:t>
            </w:r>
          </w:p>
        </w:tc>
        <w:tc>
          <w:tcPr>
            <w:tcW w:type="dxa" w:w="2880"/>
            <w:shd w:val="clear" w:color="auto" w:fill="3B4259"/>
          </w:tcPr>
          <w:p>
            <w:r>
              <w:rPr>
                <w:rFonts w:ascii="Calibri" w:hAnsi="Calibri"/>
                <w:b/>
                <w:color w:val="FFFFFF"/>
                <w:sz w:val="22"/>
              </w:rPr>
              <w:t>D Stock Price</w:t>
            </w:r>
          </w:p>
        </w:tc>
      </w:tr>
      <w:tr>
        <w:tc>
          <w:tcPr>
            <w:tcW w:type="dxa" w:w="2880"/>
          </w:tcPr>
          <w:p>
            <w:r>
              <w:rPr>
                <w:rFonts w:ascii="Calibri" w:hAnsi="Calibri"/>
                <w:sz w:val="22"/>
              </w:rPr>
              <w:t>Aug-25</w:t>
            </w:r>
          </w:p>
        </w:tc>
        <w:tc>
          <w:tcPr>
            <w:tcW w:type="dxa" w:w="2880"/>
          </w:tcPr>
          <w:p>
            <w:r>
              <w:rPr>
                <w:rFonts w:ascii="Calibri" w:hAnsi="Calibri"/>
                <w:sz w:val="22"/>
              </w:rPr>
              <w:t>$0.818</w:t>
            </w:r>
          </w:p>
        </w:tc>
        <w:tc>
          <w:tcPr>
            <w:tcW w:type="dxa" w:w="2880"/>
          </w:tcPr>
          <w:p>
            <w:r>
              <w:rPr>
                <w:rFonts w:ascii="Calibri" w:hAnsi="Calibri"/>
                <w:sz w:val="22"/>
              </w:rPr>
              <w:t>$59.90</w:t>
            </w:r>
          </w:p>
        </w:tc>
      </w:tr>
      <w:tr>
        <w:tc>
          <w:tcPr>
            <w:tcW w:type="dxa" w:w="2880"/>
          </w:tcPr>
          <w:p>
            <w:r>
              <w:rPr>
                <w:rFonts w:ascii="Calibri" w:hAnsi="Calibri"/>
                <w:sz w:val="22"/>
              </w:rPr>
              <w:t>Sep-25</w:t>
            </w:r>
          </w:p>
        </w:tc>
        <w:tc>
          <w:tcPr>
            <w:tcW w:type="dxa" w:w="2880"/>
          </w:tcPr>
          <w:p>
            <w:r>
              <w:rPr>
                <w:rFonts w:ascii="Calibri" w:hAnsi="Calibri"/>
                <w:sz w:val="22"/>
              </w:rPr>
              <w:t>$0.964</w:t>
            </w:r>
          </w:p>
        </w:tc>
        <w:tc>
          <w:tcPr>
            <w:tcW w:type="dxa" w:w="2880"/>
          </w:tcPr>
          <w:p>
            <w:r>
              <w:rPr>
                <w:rFonts w:ascii="Calibri" w:hAnsi="Calibri"/>
                <w:sz w:val="22"/>
              </w:rPr>
              <w:t>$61.17</w:t>
            </w:r>
          </w:p>
        </w:tc>
      </w:tr>
      <w:tr>
        <w:tc>
          <w:tcPr>
            <w:tcW w:type="dxa" w:w="2880"/>
          </w:tcPr>
          <w:p>
            <w:r>
              <w:rPr>
                <w:rFonts w:ascii="Calibri" w:hAnsi="Calibri"/>
                <w:sz w:val="22"/>
              </w:rPr>
              <w:t>Oct-25</w:t>
            </w:r>
          </w:p>
        </w:tc>
        <w:tc>
          <w:tcPr>
            <w:tcW w:type="dxa" w:w="2880"/>
          </w:tcPr>
          <w:p>
            <w:r>
              <w:rPr>
                <w:rFonts w:ascii="Calibri" w:hAnsi="Calibri"/>
                <w:sz w:val="22"/>
              </w:rPr>
              <w:t>$0.919</w:t>
            </w:r>
          </w:p>
        </w:tc>
        <w:tc>
          <w:tcPr>
            <w:tcW w:type="dxa" w:w="2880"/>
          </w:tcPr>
          <w:p>
            <w:r>
              <w:rPr>
                <w:rFonts w:ascii="Calibri" w:hAnsi="Calibri"/>
                <w:sz w:val="22"/>
              </w:rPr>
              <w:t>$58.69</w:t>
            </w:r>
          </w:p>
        </w:tc>
      </w:tr>
      <w:tr>
        <w:tc>
          <w:tcPr>
            <w:tcW w:type="dxa" w:w="2880"/>
          </w:tcPr>
          <w:p>
            <w:r>
              <w:rPr>
                <w:rFonts w:ascii="Calibri" w:hAnsi="Calibri"/>
                <w:sz w:val="22"/>
              </w:rPr>
              <w:t>Nov-25</w:t>
            </w:r>
          </w:p>
        </w:tc>
        <w:tc>
          <w:tcPr>
            <w:tcW w:type="dxa" w:w="2880"/>
          </w:tcPr>
          <w:p>
            <w:r>
              <w:rPr>
                <w:rFonts w:ascii="Calibri" w:hAnsi="Calibri"/>
                <w:sz w:val="22"/>
              </w:rPr>
              <w:t>$0.928</w:t>
            </w:r>
          </w:p>
        </w:tc>
        <w:tc>
          <w:tcPr>
            <w:tcW w:type="dxa" w:w="2880"/>
          </w:tcPr>
          <w:p>
            <w:r>
              <w:rPr>
                <w:rFonts w:ascii="Calibri" w:hAnsi="Calibri"/>
                <w:sz w:val="22"/>
              </w:rPr>
              <w:t>$62.77</w:t>
            </w:r>
          </w:p>
        </w:tc>
      </w:tr>
      <w:tr>
        <w:tc>
          <w:tcPr>
            <w:tcW w:type="dxa" w:w="2880"/>
          </w:tcPr>
          <w:p>
            <w:r>
              <w:rPr>
                <w:rFonts w:ascii="Calibri" w:hAnsi="Calibri"/>
                <w:sz w:val="22"/>
              </w:rPr>
              <w:t>Dec-25</w:t>
            </w:r>
          </w:p>
        </w:tc>
        <w:tc>
          <w:tcPr>
            <w:tcW w:type="dxa" w:w="2880"/>
          </w:tcPr>
          <w:p>
            <w:r>
              <w:rPr>
                <w:rFonts w:ascii="Calibri" w:hAnsi="Calibri"/>
                <w:sz w:val="22"/>
              </w:rPr>
              <w:t>$0.883</w:t>
            </w:r>
          </w:p>
        </w:tc>
        <w:tc>
          <w:tcPr>
            <w:tcW w:type="dxa" w:w="2880"/>
          </w:tcPr>
          <w:p>
            <w:r>
              <w:rPr>
                <w:rFonts w:ascii="Calibri" w:hAnsi="Calibri"/>
                <w:sz w:val="22"/>
              </w:rPr>
              <w:t>$58.59</w:t>
            </w:r>
          </w:p>
        </w:tc>
      </w:tr>
      <w:tr>
        <w:tc>
          <w:tcPr>
            <w:tcW w:type="dxa" w:w="2880"/>
          </w:tcPr>
          <w:p>
            <w:r>
              <w:rPr>
                <w:rFonts w:ascii="Calibri" w:hAnsi="Calibri"/>
                <w:sz w:val="22"/>
              </w:rPr>
              <w:t>Jan-26</w:t>
            </w:r>
          </w:p>
        </w:tc>
        <w:tc>
          <w:tcPr>
            <w:tcW w:type="dxa" w:w="2880"/>
          </w:tcPr>
          <w:p>
            <w:r>
              <w:rPr>
                <w:rFonts w:ascii="Calibri" w:hAnsi="Calibri"/>
                <w:sz w:val="22"/>
              </w:rPr>
              <w:t>$0.862</w:t>
            </w:r>
          </w:p>
        </w:tc>
        <w:tc>
          <w:tcPr>
            <w:tcW w:type="dxa" w:w="2880"/>
          </w:tcPr>
          <w:p>
            <w:r>
              <w:rPr>
                <w:rFonts w:ascii="Calibri" w:hAnsi="Calibri"/>
                <w:sz w:val="22"/>
              </w:rPr>
              <w:t>$60.17</w:t>
            </w:r>
          </w:p>
        </w:tc>
      </w:tr>
      <w:tr>
        <w:tc>
          <w:tcPr>
            <w:tcW w:type="dxa" w:w="2880"/>
          </w:tcPr>
          <w:p>
            <w:r>
              <w:rPr>
                <w:rFonts w:ascii="Calibri" w:hAnsi="Calibri"/>
                <w:sz w:val="22"/>
              </w:rPr>
              <w:t>Feb-26</w:t>
            </w:r>
          </w:p>
        </w:tc>
        <w:tc>
          <w:tcPr>
            <w:tcW w:type="dxa" w:w="2880"/>
          </w:tcPr>
          <w:p>
            <w:r>
              <w:rPr>
                <w:rFonts w:ascii="Calibri" w:hAnsi="Calibri"/>
                <w:sz w:val="22"/>
              </w:rPr>
              <w:t>$0.881</w:t>
            </w:r>
          </w:p>
        </w:tc>
        <w:tc>
          <w:tcPr>
            <w:tcW w:type="dxa" w:w="2880"/>
          </w:tcPr>
          <w:p>
            <w:r>
              <w:rPr>
                <w:rFonts w:ascii="Calibri" w:hAnsi="Calibri"/>
                <w:sz w:val="22"/>
              </w:rPr>
              <w:t>$63.14</w:t>
            </w:r>
          </w:p>
        </w:tc>
      </w:tr>
      <w:tr>
        <w:tc>
          <w:tcPr>
            <w:tcW w:type="dxa" w:w="2880"/>
          </w:tcPr>
          <w:p>
            <w:r>
              <w:rPr>
                <w:rFonts w:ascii="Calibri" w:hAnsi="Calibri"/>
                <w:sz w:val="22"/>
              </w:rPr>
              <w:t>Mar-26</w:t>
            </w:r>
          </w:p>
        </w:tc>
        <w:tc>
          <w:tcPr>
            <w:tcW w:type="dxa" w:w="2880"/>
          </w:tcPr>
          <w:p>
            <w:r>
              <w:rPr>
                <w:rFonts w:ascii="Calibri" w:hAnsi="Calibri"/>
                <w:sz w:val="22"/>
              </w:rPr>
              <w:t>$0.993</w:t>
            </w:r>
          </w:p>
        </w:tc>
        <w:tc>
          <w:tcPr>
            <w:tcW w:type="dxa" w:w="2880"/>
          </w:tcPr>
          <w:p>
            <w:r>
              <w:rPr>
                <w:rFonts w:ascii="Calibri" w:hAnsi="Calibri"/>
                <w:sz w:val="22"/>
              </w:rPr>
              <w:t>$61.82</w:t>
            </w:r>
          </w:p>
        </w:tc>
      </w:tr>
      <w:tr>
        <w:tc>
          <w:tcPr>
            <w:tcW w:type="dxa" w:w="2880"/>
          </w:tcPr>
          <w:p>
            <w:r>
              <w:rPr>
                <w:rFonts w:ascii="Calibri" w:hAnsi="Calibri"/>
                <w:sz w:val="22"/>
              </w:rPr>
              <w:t>Apr-26</w:t>
            </w:r>
          </w:p>
        </w:tc>
        <w:tc>
          <w:tcPr>
            <w:tcW w:type="dxa" w:w="2880"/>
          </w:tcPr>
          <w:p>
            <w:r>
              <w:rPr>
                <w:rFonts w:ascii="Calibri" w:hAnsi="Calibri"/>
                <w:sz w:val="22"/>
              </w:rPr>
              <w:t>$0.860</w:t>
            </w:r>
          </w:p>
        </w:tc>
        <w:tc>
          <w:tcPr>
            <w:tcW w:type="dxa" w:w="2880"/>
          </w:tcPr>
          <w:p>
            <w:r>
              <w:rPr>
                <w:rFonts w:ascii="Calibri" w:hAnsi="Calibri"/>
                <w:sz w:val="22"/>
              </w:rPr>
              <w:t>$64.50</w:t>
            </w:r>
          </w:p>
        </w:tc>
      </w:tr>
      <w:tr>
        <w:tc>
          <w:tcPr>
            <w:tcW w:type="dxa" w:w="2880"/>
          </w:tcPr>
          <w:p>
            <w:r>
              <w:rPr>
                <w:rFonts w:ascii="Calibri" w:hAnsi="Calibri"/>
                <w:sz w:val="22"/>
              </w:rPr>
              <w:t>May-26</w:t>
            </w:r>
          </w:p>
        </w:tc>
        <w:tc>
          <w:tcPr>
            <w:tcW w:type="dxa" w:w="2880"/>
          </w:tcPr>
          <w:p>
            <w:r>
              <w:rPr>
                <w:rFonts w:ascii="Calibri" w:hAnsi="Calibri"/>
                <w:sz w:val="22"/>
              </w:rPr>
              <w:t>$0.830</w:t>
            </w:r>
          </w:p>
        </w:tc>
        <w:tc>
          <w:tcPr>
            <w:tcW w:type="dxa" w:w="2880"/>
          </w:tcPr>
          <w:p>
            <w:r>
              <w:rPr>
                <w:rFonts w:ascii="Calibri" w:hAnsi="Calibri"/>
                <w:sz w:val="22"/>
              </w:rPr>
              <w:t>$66.94</w:t>
            </w:r>
          </w:p>
        </w:tc>
      </w:tr>
      <w:tr>
        <w:tc>
          <w:tcPr>
            <w:tcW w:type="dxa" w:w="2880"/>
          </w:tcPr>
          <w:p>
            <w:r>
              <w:rPr>
                <w:rFonts w:ascii="Calibri" w:hAnsi="Calibri"/>
                <w:sz w:val="22"/>
              </w:rPr>
              <w:t>Jun-26</w:t>
            </w:r>
          </w:p>
        </w:tc>
        <w:tc>
          <w:tcPr>
            <w:tcW w:type="dxa" w:w="2880"/>
          </w:tcPr>
          <w:p>
            <w:r>
              <w:rPr>
                <w:rFonts w:ascii="Calibri" w:hAnsi="Calibri"/>
                <w:sz w:val="22"/>
              </w:rPr>
              <w:t>$0.775</w:t>
            </w:r>
          </w:p>
        </w:tc>
        <w:tc>
          <w:tcPr>
            <w:tcW w:type="dxa" w:w="2880"/>
          </w:tcPr>
          <w:p>
            <w:r>
              <w:rPr>
                <w:rFonts w:ascii="Calibri" w:hAnsi="Calibri"/>
                <w:sz w:val="22"/>
              </w:rPr>
              <w:t>$68.29</w:t>
            </w:r>
          </w:p>
        </w:tc>
      </w:tr>
      <w:tr>
        <w:tc>
          <w:tcPr>
            <w:tcW w:type="dxa" w:w="2880"/>
          </w:tcPr>
          <w:p>
            <w:r>
              <w:rPr>
                <w:rFonts w:ascii="Calibri" w:hAnsi="Calibri"/>
                <w:sz w:val="22"/>
              </w:rPr>
              <w:t>Jul-26 (latest)</w:t>
            </w:r>
          </w:p>
        </w:tc>
        <w:tc>
          <w:tcPr>
            <w:tcW w:type="dxa" w:w="2880"/>
          </w:tcPr>
          <w:p>
            <w:r>
              <w:rPr>
                <w:rFonts w:ascii="Calibri" w:hAnsi="Calibri"/>
                <w:sz w:val="22"/>
              </w:rPr>
              <w:t>$0.660</w:t>
            </w:r>
          </w:p>
        </w:tc>
        <w:tc>
          <w:tcPr>
            <w:tcW w:type="dxa" w:w="2880"/>
          </w:tcPr>
          <w:p>
            <w:r>
              <w:rPr>
                <w:rFonts w:ascii="Calibri" w:hAnsi="Calibri"/>
                <w:sz w:val="22"/>
              </w:rPr>
              <w:t>$69.75</w:t>
            </w:r>
          </w:p>
        </w:tc>
      </w:tr>
    </w:tbl>
    <w:p>
      <w:r>
        <w:rPr>
          <w:rFonts w:ascii="Calibri" w:hAnsi="Calibri"/>
          <w:b/>
          <w:color w:val="525866"/>
          <w:sz w:val="22"/>
        </w:rPr>
        <w:t xml:space="preserve">Revision Commentary: </w:t>
      </w:r>
      <w:r>
        <w:rPr>
          <w:rFonts w:ascii="Calibri" w:hAnsi="Calibri"/>
          <w:color w:val="525866"/>
          <w:sz w:val="22"/>
        </w:rPr>
        <w:t>The Q2 2026 operating EPS consensus estimate has declined from a peak of ~$0.993 in March 2026 to $0.660 in July 2026 — a 33.5% decline over four months. The sharpest cuts came after the Q1 2026 earnings call (May 1), with the estimate falling from ~$0.860 in April to $0.660 by July, a ~23% reduction in three months. Notably, the stock has moved in the opposite direction over the same period — rising from $64.50 in April to $69.75 in July (+8.1%) — driven by the May 18 merger announcement rather than EPS revision momentum. This divergence between falling EPS estimates and rising stock price is entirely explained by the deal premium embedded in D’s current valuation. The low EPS bar ($0.660 vs. $0.75 in Q2 2025) creates a favorable setup for a beat on the fundamental print, though the stock’s reaction will likely be more sensitive to CVOW updates, data center contracted capacity, and any merger-related commentary than to the EPS number itself.</w:t>
      </w:r>
    </w:p>
    <w:p>
      <w:r>
        <w:rPr>
          <w:rFonts w:ascii="Calibri" w:hAnsi="Calibri"/>
          <w:i/>
          <w:color w:val="525866"/>
          <w:sz w:val="22"/>
        </w:rPr>
        <w:t xml:space="preserve">Disclaimer: </w:t>
      </w:r>
      <w:r>
        <w:rPr>
          <w:rFonts w:ascii="Calibri" w:hAnsi="Calibri"/>
          <w:i/>
          <w:color w:val="525866"/>
          <w:sz w:val="22"/>
        </w:rPr>
        <w:t>This document is prepared for informational purposes only. All consensus estimates sourced from Visible Alpha. Stock prices sourced from Yahoo Finance. Guidance figures sourced from Dominion Energy Q1 2026 Earnings Call transcript and press release (May 1, 2026) and SEC filings. Peer commentary sourced from Q2 2026 earnings call transcripts and earnings releases. Merger details sourced from Dominion Energy 8-K filings (May 18, 2026 and June 16, 2026). Prepared: July 30,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