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DTE Energy before writing the preview. Let me start by gathering recent earnings materials, guidance, and news.I'll read the most recent earnings materials and check for broader news and consensus.Let me gather the year-ago Q2 comparison, stock performance, and analyst consensus.# DTE Energy (DTE) — Q2 2026 Earnings Preview</w:t>
      </w:r>
    </w:p>
    <w:bookmarkStart w:id="9" w:name="X998c3a261614fb2672a9bb5fb06e1988126f97a"/>
    <w:p>
      <w:pPr>
        <w:pStyle w:val="Heading3"/>
      </w:pPr>
      <w:r>
        <w:t xml:space="preserve">Report date: Tuesday, July 28, 2026 (before market open) | 2026Q2 Earnings Call</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DTE goes into this print as a "steady-eddie" regulated utility with an increasingly interesting data-center growth kicker. The Q2 numbers themselves are unlikely to move the stock much — Q2 is seasonally DTE's weakest quarter and management has explicitly said it is running to the</w:t>
      </w:r>
      <w:r>
        <w:t xml:space="preserve"> </w:t>
      </w:r>
      <w:r>
        <w:rPr>
          <w:b/>
          <w:bCs/>
        </w:rPr>
        <w:t xml:space="preserve">high end</w:t>
      </w:r>
      <w:r>
        <w:t xml:space="preserve"> </w:t>
      </w:r>
      <w:r>
        <w:t xml:space="preserve">of full-year guidance. The real event risk/reward sits in the</w:t>
      </w:r>
      <w:r>
        <w:t xml:space="preserve"> </w:t>
      </w:r>
      <w:r>
        <w:rPr>
          <w:b/>
          <w:bCs/>
        </w:rPr>
        <w:t xml:space="preserve">commentary</w:t>
      </w:r>
      <w:r>
        <w:t xml:space="preserve">: the Google MPSC approval track, the "next deal," the pending IRP and rate-case cadence, and any early tell on the fall 5-year-plan/CapEx refresh.</w:t>
      </w:r>
    </w:p>
    <w:p>
      <w:r>
        <w:pict>
          <v:rect style="width:0;height:1.5pt" o:hralign="center" o:hrstd="t" o:hr="t"/>
        </w:pict>
      </w:r>
    </w:p>
    <w:bookmarkEnd w:id="10"/>
    <w:bookmarkStart w:id="11" w:name="numbers-that-frame-the-quarter"/>
    <w:p>
      <w:pPr>
        <w:pStyle w:val="Heading2"/>
      </w:pPr>
      <w:r>
        <w:t xml:space="preserve">Numbers that frame the quarter</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Figure</w:t>
            </w:r>
          </w:p>
        </w:tc>
        <w:tc>
          <w:tcPr/>
          <w:p>
            <w:pPr>
              <w:pStyle w:val="Compact"/>
            </w:pPr>
            <w:r>
              <w:t xml:space="preserve">Source/Note</w:t>
            </w:r>
          </w:p>
        </w:tc>
      </w:tr>
      <w:tr>
        <w:tc>
          <w:tcPr/>
          <w:p>
            <w:pPr>
              <w:pStyle w:val="Compact"/>
            </w:pPr>
            <w:r>
              <w:rPr>
                <w:b/>
                <w:bCs/>
              </w:rPr>
              <w:t xml:space="preserve">2026 operating EPS guidance</w:t>
            </w:r>
          </w:p>
        </w:tc>
        <w:tc>
          <w:tcPr/>
          <w:p>
            <w:pPr>
              <w:pStyle w:val="Compact"/>
            </w:pPr>
            <w:r>
              <w:rPr>
                <w:b/>
                <w:bCs/>
              </w:rPr>
              <w:t xml:space="preserve">$7.59 – $7.73</w:t>
            </w:r>
          </w:p>
        </w:tc>
        <w:tc>
          <w:tcPr/>
          <w:p>
            <w:pPr>
              <w:pStyle w:val="Compact"/>
            </w:pPr>
            <w:r>
              <w:t xml:space="preserve">Confirmed on the Q4'25 release; management biased to the top end</w:t>
            </w:r>
          </w:p>
        </w:tc>
      </w:tr>
      <w:tr>
        <w:tc>
          <w:tcPr/>
          <w:p>
            <w:pPr>
              <w:pStyle w:val="Compact"/>
            </w:pPr>
            <w:r>
              <w:t xml:space="preserve">2025 operating EPS (actual)</w:t>
            </w:r>
          </w:p>
        </w:tc>
        <w:tc>
          <w:tcPr/>
          <w:p>
            <w:pPr>
              <w:pStyle w:val="Compact"/>
            </w:pPr>
            <w:r>
              <w:t xml:space="preserve">$7.36</w:t>
            </w:r>
          </w:p>
        </w:tc>
        <w:tc>
          <w:tcPr/>
          <w:p>
            <w:pPr>
              <w:pStyle w:val="Compact"/>
            </w:pPr>
            <w:r>
              <w:t xml:space="preserve">Beat the original</w:t>
            </w:r>
            <w:r>
              <w:t xml:space="preserve"> </w:t>
            </w:r>
            <m:oMath>
              <m:r>
                <m:t>7.09</m:t>
              </m:r>
              <m:r>
                <m:rPr>
                  <m:sty m:val="p"/>
                </m:rPr>
                <m:t>–</m:t>
              </m:r>
            </m:oMath>
            <w:r>
              <w:t xml:space="preserve">7.23 guide; excess used to "extinguish backlogs"</w:t>
            </w:r>
          </w:p>
        </w:tc>
      </w:tr>
      <w:tr>
        <w:tc>
          <w:tcPr/>
          <w:p>
            <w:pPr>
              <w:pStyle w:val="Compact"/>
            </w:pPr>
            <w:r>
              <w:t xml:space="preserve">Q1 2026 operating EPS</w:t>
            </w:r>
          </w:p>
        </w:tc>
        <w:tc>
          <w:tcPr/>
          <w:p>
            <w:pPr>
              <w:pStyle w:val="Compact"/>
            </w:pPr>
            <w:r>
              <w:t xml:space="preserve">$1.95</w:t>
            </w:r>
          </w:p>
        </w:tc>
        <w:tc>
          <w:tcPr/>
          <w:p>
            <w:pPr>
              <w:pStyle w:val="Compact"/>
            </w:pPr>
            <w:r>
              <w:t xml:space="preserve">Strong start; electric aided by tax timing + cold weather</w:t>
            </w:r>
          </w:p>
        </w:tc>
      </w:tr>
      <w:tr>
        <w:tc>
          <w:tcPr/>
          <w:p>
            <w:pPr>
              <w:pStyle w:val="Compact"/>
            </w:pPr>
            <w:r>
              <w:rPr>
                <w:b/>
                <w:bCs/>
              </w:rPr>
              <w:t xml:space="preserve">Q2 2025 operating EPS (YoY comp)</w:t>
            </w:r>
          </w:p>
        </w:tc>
        <w:tc>
          <w:tcPr/>
          <w:p>
            <w:pPr>
              <w:pStyle w:val="Compact"/>
            </w:pPr>
            <w:r>
              <w:rPr>
                <w:b/>
                <w:bCs/>
              </w:rPr>
              <w:t xml:space="preserve">$1.36</w:t>
            </w:r>
          </w:p>
        </w:tc>
        <w:tc>
          <w:tcPr/>
          <w:p>
            <w:pPr>
              <w:pStyle w:val="Compact"/>
            </w:pPr>
            <w:r>
              <w:t xml:space="preserve">Seasonally light quarter; the bar to clear</w:t>
            </w:r>
          </w:p>
        </w:tc>
      </w:tr>
      <w:tr>
        <w:tc>
          <w:tcPr/>
          <w:p>
            <w:pPr>
              <w:pStyle w:val="Compact"/>
            </w:pPr>
            <w:r>
              <w:t xml:space="preserve">Long-term EPS growth</w:t>
            </w:r>
          </w:p>
        </w:tc>
        <w:tc>
          <w:tcPr/>
          <w:p>
            <w:pPr>
              <w:pStyle w:val="Compact"/>
            </w:pPr>
            <w:r>
              <w:t xml:space="preserve">6–8% through 2030</w:t>
            </w:r>
          </w:p>
        </w:tc>
        <w:tc>
          <w:tcPr/>
          <w:p>
            <w:pPr>
              <w:pStyle w:val="Compact"/>
            </w:pPr>
            <w:r>
              <w:t xml:space="preserve">High-end bias driven by RNG (45Z) tax-credit flexibility</w:t>
            </w:r>
          </w:p>
        </w:tc>
      </w:tr>
      <w:tr>
        <w:tc>
          <w:tcPr/>
          <w:p>
            <w:pPr>
              <w:pStyle w:val="Compact"/>
            </w:pPr>
            <w:r>
              <w:t xml:space="preserve">2025 annualized dividend</w:t>
            </w:r>
          </w:p>
        </w:tc>
        <w:tc>
          <w:tcPr/>
          <w:p>
            <w:pPr>
              <w:pStyle w:val="Compact"/>
            </w:pPr>
            <w:r>
              <w:t xml:space="preserve">$4.36</w:t>
            </w:r>
          </w:p>
        </w:tc>
        <w:tc>
          <w:tcPr/>
          <w:p>
            <w:pPr>
              <w:pStyle w:val="Compact"/>
            </w:pPr>
            <w:r>
              <w:t xml:space="preserve">Grows in line with EPS</w:t>
            </w:r>
          </w:p>
        </w:tc>
      </w:tr>
    </w:tbl>
    <w:p>
      <w:pPr>
        <w:pStyle w:val="BodyText"/>
      </w:pPr>
      <w:r>
        <w:rPr>
          <w:b/>
          <w:bCs/>
        </w:rPr>
        <w:t xml:space="preserve">How the year-ago quarter split (Q2'25):</w:t>
      </w:r>
      <w:r>
        <w:t xml:space="preserve"> </w:t>
      </w:r>
      <w:r>
        <w:t xml:space="preserve">DTE Electric $318M, DTE Gas $6M, DTE Vantage $31M, Energy Trading</w:t>
      </w:r>
      <w:r>
        <w:t xml:space="preserve"> </w:t>
      </w:r>
      <w:r>
        <w:t xml:space="preserve">$24M, Corporate &amp; Other -$</w:t>
      </w:r>
      <w:r>
        <w:t xml:space="preserve">56M (mostly tax timing that reverses through the year). Q2 is dominated by Electric; Gas is near-zero seasonally.</w:t>
      </w:r>
    </w:p>
    <w:p>
      <w:r>
        <w:pict>
          <v:rect style="width:0;height:1.5pt" o:hralign="center" o:hrstd="t" o:hr="t"/>
        </w:pict>
      </w:r>
    </w:p>
    <w:bookmarkEnd w:id="11"/>
    <w:bookmarkStart w:id="17" w:name="what-actually-matters-for-the-stock"/>
    <w:p>
      <w:pPr>
        <w:pStyle w:val="Heading2"/>
      </w:pPr>
      <w:r>
        <w:t xml:space="preserve">What actually matters for the stock</w:t>
      </w:r>
    </w:p>
    <w:bookmarkStart w:id="12" w:name="Xfda967a3ff5181de5e76b3a56eda93d4185c3fa"/>
    <w:p>
      <w:pPr>
        <w:pStyle w:val="Heading3"/>
      </w:pPr>
      <w:r>
        <w:t xml:space="preserve">1. Data centers — the whole growth thesis</w:t>
      </w:r>
    </w:p>
    <w:p>
      <w:pPr>
        <w:pStyle w:val="FirstParagraph"/>
      </w:pPr>
      <w:r>
        <w:t xml:space="preserve">This is the swing factor and where management will get the most questions.</w:t>
      </w:r>
    </w:p>
    <w:p>
      <w:pPr>
        <w:pStyle w:val="Compact"/>
        <w:numPr>
          <w:ilvl w:val="0"/>
          <w:numId w:val="1001"/>
        </w:numPr>
      </w:pPr>
      <w:r>
        <w:rPr>
          <w:b/>
          <w:bCs/>
        </w:rPr>
        <w:t xml:space="preserve">Oracle (1.4 GW, Saline Township):</w:t>
      </w:r>
      <w:r>
        <w:t xml:space="preserve"> </w:t>
      </w:r>
      <w:r>
        <w:t xml:space="preserve">Contracts already MPSC-approved, construction underway, load ramping over the next several years. Expected to drive ~</w:t>
      </w:r>
      <w:r>
        <w:rPr>
          <w:b/>
          <w:bCs/>
        </w:rPr>
        <w:t xml:space="preserve">$300M/yr</w:t>
      </w:r>
      <w:r>
        <w:t xml:space="preserve"> </w:t>
      </w:r>
      <w:r>
        <w:t xml:space="preserve">of affordability benefit to existing customers once fully ramped. Management wants Oracle online by</w:t>
      </w:r>
      <w:r>
        <w:t xml:space="preserve"> </w:t>
      </w:r>
      <w:r>
        <w:rPr>
          <w:b/>
          <w:bCs/>
        </w:rPr>
        <w:t xml:space="preserve">end of 2027</w:t>
      </w:r>
      <w:r>
        <w:t xml:space="preserve">.</w:t>
      </w:r>
    </w:p>
    <w:p>
      <w:pPr>
        <w:pStyle w:val="Compact"/>
        <w:numPr>
          <w:ilvl w:val="0"/>
          <w:numId w:val="1001"/>
        </w:numPr>
      </w:pPr>
      <w:r>
        <w:rPr>
          <w:b/>
          <w:bCs/>
        </w:rPr>
        <w:t xml:space="preserve">Google (~1 GW):</w:t>
      </w:r>
      <w:r>
        <w:t xml:space="preserve"> </w:t>
      </w:r>
      <w:r>
        <w:t xml:space="preserve">Contract filed with the MPSC; an order is expected</w:t>
      </w:r>
      <w:r>
        <w:t xml:space="preserve"> </w:t>
      </w:r>
      <w:r>
        <w:rPr>
          <w:b/>
          <w:bCs/>
        </w:rPr>
        <w:t xml:space="preserve">around September 10, 2026</w:t>
      </w:r>
      <w:r>
        <w:t xml:space="preserve"> </w:t>
      </w:r>
      <w:r>
        <w:t xml:space="preserve">(commission signaled no PFD, i.e., a read-the-order path). This is the near-term binary — watch for confidence on approval. Google is framed as</w:t>
      </w:r>
      <w:r>
        <w:t xml:space="preserve"> </w:t>
      </w:r>
      <w:r>
        <w:rPr>
          <w:b/>
          <w:bCs/>
        </w:rPr>
        <w:t xml:space="preserve">~</w:t>
      </w:r>
      <m:oMath>
        <m:r>
          <m:t>5</m:t>
        </m:r>
        <m:r>
          <m:t>B</m:t>
        </m:r>
        <m:r>
          <m:t>i</m:t>
        </m:r>
        <m:r>
          <m:t>n</m:t>
        </m:r>
        <m:r>
          <m:t>c</m:t>
        </m:r>
        <m:r>
          <m:t>r</m:t>
        </m:r>
        <m:r>
          <m:t>e</m:t>
        </m:r>
        <m:r>
          <m:t>m</m:t>
        </m:r>
        <m:r>
          <m:t>e</m:t>
        </m:r>
        <m:r>
          <m:t>n</m:t>
        </m:r>
        <m:r>
          <m:t>t</m:t>
        </m:r>
        <m:r>
          <m:t>a</m:t>
        </m:r>
        <m:r>
          <m:t>l</m:t>
        </m:r>
        <m:r>
          <m:t>g</m:t>
        </m:r>
        <m:r>
          <m:t>e</m:t>
        </m:r>
        <m:r>
          <m:t>n</m:t>
        </m:r>
        <m:r>
          <m:t>e</m:t>
        </m:r>
        <m:r>
          <m:t>r</m:t>
        </m:r>
        <m:r>
          <m:t>a</m:t>
        </m:r>
        <m:r>
          <m:t>t</m:t>
        </m:r>
        <m:r>
          <m:t>i</m:t>
        </m:r>
        <m:r>
          <m:t>o</m:t>
        </m:r>
        <m:r>
          <m:t>n</m:t>
        </m:r>
        <m:r>
          <m:rPr>
            <m:sty m:val="p"/>
          </m:rPr>
          <m:t>/</m:t>
        </m:r>
        <m:r>
          <m:t>s</m:t>
        </m:r>
        <m:r>
          <m:t>t</m:t>
        </m:r>
        <m:r>
          <m:t>o</m:t>
        </m:r>
        <m:r>
          <m:t>r</m:t>
        </m:r>
        <m:r>
          <m:t>a</m:t>
        </m:r>
        <m:r>
          <m:t>g</m:t>
        </m:r>
        <m:r>
          <m:t>e</m:t>
        </m:r>
        <m:r>
          <m:t>C</m:t>
        </m:r>
        <m:r>
          <m:t>a</m:t>
        </m:r>
        <m:r>
          <m:t>p</m:t>
        </m:r>
        <m:r>
          <m:t>E</m:t>
        </m:r>
        <m:r>
          <m:t>x</m:t>
        </m:r>
        <m:r>
          <m:t>t</m:t>
        </m:r>
        <m:r>
          <m:t>h</m:t>
        </m:r>
        <m:r>
          <m:t>r</m:t>
        </m:r>
        <m:r>
          <m:t>o</m:t>
        </m:r>
        <m:r>
          <m:t>u</m:t>
        </m:r>
        <m:r>
          <m:t>g</m:t>
        </m:r>
        <m:r>
          <m:t>h</m:t>
        </m:r>
        <m:r>
          <m:t>2032</m:t>
        </m:r>
        <m:r>
          <m:rPr>
            <m:sty m:val="p"/>
          </m:rPr>
          <m:t>*</m:t>
        </m:r>
        <m:r>
          <m:rPr>
            <m:sty m:val="p"/>
          </m:rPr>
          <m:t>*</m:t>
        </m:r>
        <m:r>
          <m:rPr>
            <m:sty m:val="p"/>
          </m:rPr>
          <m:t>,</m:t>
        </m:r>
        <m:r>
          <m:t>r</m:t>
        </m:r>
        <m:r>
          <m:t>a</m:t>
        </m:r>
        <m:r>
          <m:t>m</m:t>
        </m:r>
        <m:r>
          <m:t>p</m:t>
        </m:r>
        <m:r>
          <m:t>i</m:t>
        </m:r>
        <m:r>
          <m:t>n</m:t>
        </m:r>
        <m:r>
          <m:t>g</m:t>
        </m:r>
        <m:r>
          <m:t>t</m:t>
        </m:r>
        <m:r>
          <m:t>o</m:t>
        </m:r>
        <m:r>
          <m:t>f</m:t>
        </m:r>
        <m:r>
          <m:t>u</m:t>
        </m:r>
        <m:r>
          <m:t>l</m:t>
        </m:r>
        <m:r>
          <m:t>l</m:t>
        </m:r>
        <m:r>
          <m:t>l</m:t>
        </m:r>
        <m:r>
          <m:t>o</m:t>
        </m:r>
        <m:r>
          <m:t>a</m:t>
        </m:r>
        <m:r>
          <m:t>d</m:t>
        </m:r>
        <m:r>
          <m:t>b</m:t>
        </m:r>
        <m:r>
          <m:t>y</m:t>
        </m:r>
        <m:r>
          <m:t>e</m:t>
        </m:r>
        <m:r>
          <m:t>n</m:t>
        </m:r>
        <m:r>
          <m:t>d</m:t>
        </m:r>
        <m:r>
          <m:rPr>
            <m:sty m:val="p"/>
          </m:rPr>
          <m:t>−</m:t>
        </m:r>
        <m:r>
          <m:t>2028</m:t>
        </m:r>
        <m:r>
          <m:rPr>
            <m:sty m:val="p"/>
          </m:rPr>
          <m:t>,</m:t>
        </m:r>
        <m:r>
          <m:t>a</m:t>
        </m:r>
        <m:r>
          <m:t>n</m:t>
        </m:r>
        <m:r>
          <m:t>d</m:t>
        </m:r>
        <m:r>
          <m:rPr>
            <m:sty m:val="p"/>
          </m:rPr>
          <m:t>*</m:t>
        </m:r>
        <m:r>
          <m:rPr>
            <m:sty m:val="p"/>
          </m:rPr>
          <m:t>*</m:t>
        </m:r>
        <m:r>
          <m:t> </m:t>
        </m:r>
      </m:oMath>
      <w:r>
        <w:rPr>
          <w:b/>
          <w:bCs/>
        </w:rPr>
        <w:t xml:space="preserve">1.7B lifetime</w:t>
      </w:r>
      <w:r>
        <w:t xml:space="preserve"> </w:t>
      </w:r>
      <w:r>
        <w:t xml:space="preserve">customer benefit. It is</w:t>
      </w:r>
      <w:r>
        <w:t xml:space="preserve"> </w:t>
      </w:r>
      <w:r>
        <w:rPr>
          <w:i/>
          <w:iCs/>
        </w:rPr>
        <w:t xml:space="preserve">upside</w:t>
      </w:r>
      <w:r>
        <w:t xml:space="preserve"> </w:t>
      </w:r>
      <w:r>
        <w:t xml:space="preserve">to the current plan and only gets folded in</w:t>
      </w:r>
      <w:r>
        <w:t xml:space="preserve"> </w:t>
      </w:r>
      <w:r>
        <w:rPr>
          <w:b/>
          <w:bCs/>
        </w:rPr>
        <w:t xml:space="preserve">after</w:t>
      </w:r>
      <w:r>
        <w:t xml:space="preserve"> </w:t>
      </w:r>
      <w:r>
        <w:t xml:space="preserve">MPSC approval (likely at EEI/fall).</w:t>
      </w:r>
    </w:p>
    <w:p>
      <w:pPr>
        <w:pStyle w:val="Compact"/>
        <w:numPr>
          <w:ilvl w:val="0"/>
          <w:numId w:val="1001"/>
        </w:numPr>
      </w:pPr>
      <w:r>
        <w:rPr>
          <w:b/>
          <w:bCs/>
        </w:rPr>
        <w:t xml:space="preserve">The "next deal":</w:t>
      </w:r>
      <w:r>
        <w:t xml:space="preserve"> </w:t>
      </w:r>
      <w:r>
        <w:t xml:space="preserve">~</w:t>
      </w:r>
      <w:r>
        <w:rPr>
          <w:b/>
          <w:bCs/>
        </w:rPr>
        <w:t xml:space="preserve">2 GW of hyperscalers in late-stage negotiation</w:t>
      </w:r>
      <w:r>
        <w:t xml:space="preserve"> </w:t>
      </w:r>
      <w:r>
        <w:t xml:space="preserve">(at least one with zoning done), plus</w:t>
      </w:r>
      <w:r>
        <w:t xml:space="preserve"> </w:t>
      </w:r>
      <w:r>
        <w:rPr>
          <w:b/>
          <w:bCs/>
        </w:rPr>
        <w:t xml:space="preserve">3–4 GW more</w:t>
      </w:r>
      <w:r>
        <w:t xml:space="preserve"> </w:t>
      </w:r>
      <w:r>
        <w:t xml:space="preserve">in the pipeline. Management has repeatedly guided to signing at least one more deal</w:t>
      </w:r>
      <w:r>
        <w:t xml:space="preserve"> </w:t>
      </w:r>
      <w:r>
        <w:rPr>
          <w:b/>
          <w:bCs/>
        </w:rPr>
        <w:t xml:space="preserve">before year-end 2026</w:t>
      </w:r>
      <w:r>
        <w:t xml:space="preserve">. Also watch the</w:t>
      </w:r>
      <w:r>
        <w:t xml:space="preserve"> </w:t>
      </w:r>
      <w:r>
        <w:rPr>
          <w:b/>
          <w:bCs/>
        </w:rPr>
        <w:t xml:space="preserve">DTE Vantage behind-the-meter ~350 MW project</w:t>
      </w:r>
      <w:r>
        <w:t xml:space="preserve"> </w:t>
      </w:r>
      <w:r>
        <w:t xml:space="preserve">— Joi Harris said a full agreement could land "over the next several weeks," so an announcement is plausible on/around this call.</w:t>
      </w:r>
    </w:p>
    <w:p>
      <w:pPr>
        <w:pStyle w:val="Compact"/>
        <w:numPr>
          <w:ilvl w:val="0"/>
          <w:numId w:val="1001"/>
        </w:numPr>
      </w:pPr>
      <w:r>
        <w:rPr>
          <w:b/>
          <w:bCs/>
        </w:rPr>
        <w:t xml:space="preserve">Concentration note:</w:t>
      </w:r>
      <w:r>
        <w:t xml:space="preserve"> </w:t>
      </w:r>
      <w:r>
        <w:t xml:space="preserve">These loads would be</w:t>
      </w:r>
      <w:r>
        <w:t xml:space="preserve"> </w:t>
      </w:r>
      <w:r>
        <w:rPr>
          <w:b/>
          <w:bCs/>
        </w:rPr>
        <w:t xml:space="preserve">~40% of sales</w:t>
      </w:r>
      <w:r>
        <w:t xml:space="preserve"> </w:t>
      </w:r>
      <w:r>
        <w:t xml:space="preserve">at full ramp — expect questions on credit protections, collateral, minimum-demand charges, and stranded-asset safeguards (contracts are structured to cover full revenue requirement).</w:t>
      </w:r>
    </w:p>
    <w:bookmarkEnd w:id="12"/>
    <w:bookmarkStart w:id="13" w:name="X45f60b7134a3f8606f1ba1625efb3f15fbc0935"/>
    <w:p>
      <w:pPr>
        <w:pStyle w:val="Heading3"/>
      </w:pPr>
      <w:r>
        <w:t xml:space="preserve">2. Regulatory cadence — the affordability/stay-out story</w:t>
      </w:r>
    </w:p>
    <w:p>
      <w:pPr>
        <w:pStyle w:val="Compact"/>
        <w:numPr>
          <w:ilvl w:val="0"/>
          <w:numId w:val="1002"/>
        </w:numPr>
      </w:pPr>
      <w:r>
        <w:rPr>
          <w:b/>
          <w:bCs/>
        </w:rPr>
        <w:t xml:space="preserve">Electric rate case (pending):</w:t>
      </w:r>
      <w:r>
        <w:t xml:space="preserve"> </w:t>
      </w:r>
      <w:r>
        <w:t xml:space="preserve">Filed at</w:t>
      </w:r>
      <w:r>
        <w:t xml:space="preserve"> </w:t>
      </w:r>
      <w:r>
        <w:rPr>
          <w:b/>
          <w:bCs/>
        </w:rPr>
        <w:t xml:space="preserve">10.25% ROE / 51% equity</w:t>
      </w:r>
      <w:r>
        <w:t xml:space="preserve">, driven by distribution reliability spend; asking for ~</w:t>
      </w:r>
      <w:r>
        <w:rPr>
          <w:b/>
          <w:bCs/>
        </w:rPr>
        <w:t xml:space="preserve">$800M into the IRM by 2030</w:t>
      </w:r>
      <w:r>
        <w:t xml:space="preserve">. Watch for staff/intervenor testimony read-through and settlement odds. Key nuance: DTE proposed a mechanism to</w:t>
      </w:r>
      <w:r>
        <w:t xml:space="preserve"> </w:t>
      </w:r>
      <w:r>
        <w:rPr>
          <w:b/>
          <w:bCs/>
        </w:rPr>
        <w:t xml:space="preserve">capture excess Oracle margin</w:t>
      </w:r>
      <w:r>
        <w:t xml:space="preserve"> </w:t>
      </w:r>
      <w:r>
        <w:t xml:space="preserve">and, if Oracle ramps by end-2027 plus other approvals, would</w:t>
      </w:r>
      <w:r>
        <w:t xml:space="preserve"> </w:t>
      </w:r>
      <w:r>
        <w:rPr>
          <w:b/>
          <w:bCs/>
        </w:rPr>
        <w:t xml:space="preserve">refrain from filing again until at least 2028</w:t>
      </w:r>
      <w:r>
        <w:t xml:space="preserve"> </w:t>
      </w:r>
      <w:r>
        <w:t xml:space="preserve">— a genuine affordability differentiator.</w:t>
      </w:r>
    </w:p>
    <w:p>
      <w:pPr>
        <w:pStyle w:val="Compact"/>
        <w:numPr>
          <w:ilvl w:val="0"/>
          <w:numId w:val="1002"/>
        </w:numPr>
      </w:pPr>
      <w:r>
        <w:rPr>
          <w:b/>
          <w:bCs/>
        </w:rPr>
        <w:t xml:space="preserve">Gas rate case:</w:t>
      </w:r>
      <w:r>
        <w:t xml:space="preserve"> </w:t>
      </w:r>
      <w:r>
        <w:t xml:space="preserve">Filed Nov 2025 for a</w:t>
      </w:r>
      <w:r>
        <w:t xml:space="preserve"> </w:t>
      </w:r>
      <w:r>
        <w:rPr>
          <w:b/>
          <w:bCs/>
        </w:rPr>
        <w:t xml:space="preserve">$163M net increase</w:t>
      </w:r>
      <w:r>
        <w:t xml:space="preserve"> </w:t>
      </w:r>
      <w:r>
        <w:t xml:space="preserve">(ROE up to 10.25%), order expected</w:t>
      </w:r>
      <w:r>
        <w:t xml:space="preserve"> </w:t>
      </w:r>
      <w:r>
        <w:rPr>
          <w:b/>
          <w:bCs/>
        </w:rPr>
        <w:t xml:space="preserve">September 2026</w:t>
      </w:r>
      <w:r>
        <w:t xml:space="preserve">. Staff supported the IRM increase in testimony — a constructive early sign.</w:t>
      </w:r>
    </w:p>
    <w:p>
      <w:pPr>
        <w:pStyle w:val="Compact"/>
        <w:numPr>
          <w:ilvl w:val="0"/>
          <w:numId w:val="1002"/>
        </w:numPr>
      </w:pPr>
      <w:r>
        <w:rPr>
          <w:b/>
          <w:bCs/>
        </w:rPr>
        <w:t xml:space="preserve">IRP filing expected Q3 2026</w:t>
      </w:r>
      <w:r>
        <w:t xml:space="preserve"> </w:t>
      </w:r>
      <w:r>
        <w:t xml:space="preserve">— will lay out how the baseload generation (CCGT, storage, renewables) to serve data-center load gets built. This is the framework that ultimately unlocks the multi-gigawatt pipeline CapEx.</w:t>
      </w:r>
    </w:p>
    <w:bookmarkEnd w:id="13"/>
    <w:bookmarkStart w:id="14" w:name="X3b79bf0a079394183a164a216c1858c2ea5ba51"/>
    <w:p>
      <w:pPr>
        <w:pStyle w:val="Heading3"/>
      </w:pPr>
      <w:r>
        <w:t xml:space="preserve">3. Energy Trading — the quarter's mechanical wildcard</w:t>
      </w:r>
    </w:p>
    <w:p>
      <w:pPr>
        <w:pStyle w:val="FirstParagraph"/>
      </w:pPr>
      <w:r>
        <w:t xml:space="preserve">Trading was</w:t>
      </w:r>
      <w:r>
        <w:t xml:space="preserve"> </w:t>
      </w:r>
      <w:r>
        <w:rPr>
          <w:b/>
          <w:bCs/>
        </w:rPr>
        <w:t xml:space="preserve">down ~$59M YoY in Q1'26</w:t>
      </w:r>
      <w:r>
        <w:t xml:space="preserve"> </w:t>
      </w:r>
      <w:r>
        <w:t xml:space="preserve">on power-portfolio timing (also seen in '23/'24). Management is "highly confident" this reverses through contracted/hedged positions and still hits the segment's high end for the year. Expect the reversal to start showing in Q2 — a segment miss here should be viewed as timing, not deterioration, but it's the noisiest line.</w:t>
      </w:r>
    </w:p>
    <w:bookmarkEnd w:id="14"/>
    <w:bookmarkStart w:id="15" w:name="Xb8c8bc708cf09aa7e9f0355217253b4192f7a4b"/>
    <w:p>
      <w:pPr>
        <w:pStyle w:val="Heading3"/>
      </w:pPr>
      <w:r>
        <w:t xml:space="preserve">4. Balance sheet / financing</w:t>
      </w:r>
    </w:p>
    <w:p>
      <w:pPr>
        <w:pStyle w:val="Compact"/>
        <w:numPr>
          <w:ilvl w:val="0"/>
          <w:numId w:val="1003"/>
        </w:numPr>
      </w:pPr>
      <w:r>
        <w:t xml:space="preserve">Equity:</w:t>
      </w:r>
      <w:r>
        <w:t xml:space="preserve"> </w:t>
      </w:r>
      <w:r>
        <w:rPr>
          <w:b/>
          <w:bCs/>
        </w:rPr>
        <w:t xml:space="preserve">$500–600M/yr 2026–2028</w:t>
      </w:r>
      <w:r>
        <w:t xml:space="preserve"> </w:t>
      </w:r>
      <w:r>
        <w:t xml:space="preserve">(and similar to 2030), a step-up from the prior</w:t>
      </w:r>
      <w:r>
        <w:t xml:space="preserve"> </w:t>
      </w:r>
      <m:oMath>
        <m:r>
          <m:t>0</m:t>
        </m:r>
        <m:r>
          <m:rPr>
            <m:sty m:val="p"/>
          </m:rPr>
          <m:t>–</m:t>
        </m:r>
        <m:r>
          <m:t>100</m:t>
        </m:r>
        <m:r>
          <m:t>M</m:t>
        </m:r>
        <m:r>
          <m:t>p</m:t>
        </m:r>
        <m:r>
          <m:t>l</m:t>
        </m:r>
        <m:r>
          <m:t>a</m:t>
        </m:r>
        <m:r>
          <m:t>n</m:t>
        </m:r>
        <m:r>
          <m:t>t</m:t>
        </m:r>
        <m:r>
          <m:t>o</m:t>
        </m:r>
        <m:r>
          <m:t>f</m:t>
        </m:r>
        <m:r>
          <m:t>u</m:t>
        </m:r>
        <m:r>
          <m:t>n</m:t>
        </m:r>
        <m:r>
          <m:t>d</m:t>
        </m:r>
        <m:r>
          <m:t>t</m:t>
        </m:r>
        <m:r>
          <m:t>h</m:t>
        </m:r>
        <m:r>
          <m:t>e</m:t>
        </m:r>
        <m:r>
          <m:t>b</m:t>
        </m:r>
        <m:r>
          <m:t>i</m:t>
        </m:r>
        <m:r>
          <m:t>g</m:t>
        </m:r>
        <m:r>
          <m:t>g</m:t>
        </m:r>
        <m:r>
          <m:t>e</m:t>
        </m:r>
        <m:r>
          <m:t>r</m:t>
        </m:r>
        <m:r>
          <m:t>C</m:t>
        </m:r>
        <m:r>
          <m:t>a</m:t>
        </m:r>
        <m:r>
          <m:t>p</m:t>
        </m:r>
        <m:r>
          <m:t>E</m:t>
        </m:r>
        <m:r>
          <m:t>x</m:t>
        </m:r>
        <m:r>
          <m:rPr>
            <m:sty m:val="p"/>
          </m:rPr>
          <m:t>.</m:t>
        </m:r>
        <m:r>
          <m:t>D</m:t>
        </m:r>
        <m:r>
          <m:t>T</m:t>
        </m:r>
        <m:r>
          <m:t>E</m:t>
        </m:r>
        <m:r>
          <m:t>h</m:t>
        </m:r>
        <m:r>
          <m:t>a</m:t>
        </m:r>
        <m:r>
          <m:t>s</m:t>
        </m:r>
        <m:r>
          <m:t>a</m:t>
        </m:r>
        <m:r>
          <m:t>l</m:t>
        </m:r>
        <m:r>
          <m:t>r</m:t>
        </m:r>
        <m:r>
          <m:t>e</m:t>
        </m:r>
        <m:r>
          <m:t>a</m:t>
        </m:r>
        <m:r>
          <m:t>d</m:t>
        </m:r>
        <m:r>
          <m:t>y</m:t>
        </m:r>
        <m:r>
          <m:rPr>
            <m:sty m:val="p"/>
          </m:rPr>
          <m:t>*</m:t>
        </m:r>
        <m:r>
          <m:rPr>
            <m:sty m:val="p"/>
          </m:rPr>
          <m:t>*</m:t>
        </m:r>
        <m:r>
          <m:t>p</m:t>
        </m:r>
        <m:r>
          <m:t>r</m:t>
        </m:r>
        <m:r>
          <m:t>i</m:t>
        </m:r>
        <m:r>
          <m:t>c</m:t>
        </m:r>
        <m:r>
          <m:t>e</m:t>
        </m:r>
        <m:r>
          <m:t>d</m:t>
        </m:r>
        <m:r>
          <m:rPr>
            <m:sty m:val="p"/>
          </m:rPr>
          <m:t>&gt;</m:t>
        </m:r>
      </m:oMath>
      <w:r>
        <w:t xml:space="preserve">350M via forward sale agreements** (~2/3 of the 2026 target) to be settled later this year — reduces overhang risk.</w:t>
      </w:r>
    </w:p>
    <w:p>
      <w:pPr>
        <w:pStyle w:val="Compact"/>
        <w:numPr>
          <w:ilvl w:val="0"/>
          <w:numId w:val="1003"/>
        </w:numPr>
      </w:pPr>
      <w:r>
        <w:t xml:space="preserve">Targeting</w:t>
      </w:r>
      <w:r>
        <w:t xml:space="preserve"> </w:t>
      </w:r>
      <w:r>
        <w:rPr>
          <w:b/>
          <w:bCs/>
        </w:rPr>
        <w:t xml:space="preserve">~15% FFO/debt</w:t>
      </w:r>
      <w:r>
        <w:t xml:space="preserve"> </w:t>
      </w:r>
      <w:r>
        <w:t xml:space="preserve">and IG rating; incremental data-center CapEx funded ~40% equity plus converts/hybrids.</w:t>
      </w:r>
      <w:r>
        <w:t xml:space="preserve"> </w:t>
      </w:r>
      <w:r>
        <w:rPr>
          <w:b/>
          <w:bCs/>
        </w:rPr>
        <w:t xml:space="preserve">Watch for any asset-recycling hints</w:t>
      </w:r>
      <w:r>
        <w:t xml:space="preserve"> </w:t>
      </w:r>
      <w:r>
        <w:t xml:space="preserve">(Vantage/RNG rotation) — management has said "nothing imminent" but keeps the door open.</w:t>
      </w:r>
    </w:p>
    <w:bookmarkEnd w:id="15"/>
    <w:bookmarkStart w:id="16" w:name="Xe8e6eac68b583a05d40f6c53da4d22ebdef7dc5"/>
    <w:p>
      <w:pPr>
        <w:pStyle w:val="Heading3"/>
      </w:pPr>
      <w:r>
        <w:t xml:space="preserve">5. Reliability &amp; weather</w:t>
      </w:r>
    </w:p>
    <w:p>
      <w:pPr>
        <w:pStyle w:val="FirstParagraph"/>
      </w:pPr>
      <w:r>
        <w:t xml:space="preserve">DTE keeps pressing its operational turnaround (best all-weather SAIDI in ~20 years, 90% outage-duration improvement 2023–2025, top-quartile). Expect updated storm-response stats and confirmation of the 2029 goals (outages -30%, duration -50%). A hot summer generally helps Electric; watch weather-normalized commentary.</w:t>
      </w:r>
    </w:p>
    <w:p>
      <w:r>
        <w:pict>
          <v:rect style="width:0;height:1.5pt" o:hralign="center" o:hrstd="t" o:hr="t"/>
        </w:pict>
      </w:r>
    </w:p>
    <w:bookmarkEnd w:id="16"/>
    <w:bookmarkEnd w:id="17"/>
    <w:bookmarkStart w:id="18" w:name="stock-context-going-in"/>
    <w:p>
      <w:pPr>
        <w:pStyle w:val="Heading2"/>
      </w:pPr>
      <w:r>
        <w:t xml:space="preserve">Stock context going in</w:t>
      </w:r>
    </w:p>
    <w:p>
      <w:pPr>
        <w:pStyle w:val="FirstParagraph"/>
      </w:pPr>
      <w:r>
        <w:t xml:space="preserve">DTE is at **~</w:t>
      </w:r>
      <m:oMath>
        <m:r>
          <m:t>147</m:t>
        </m:r>
        <m:r>
          <m:rPr>
            <m:sty m:val="p"/>
          </m:rPr>
          <m:t>*</m:t>
        </m:r>
        <m:r>
          <m:rPr>
            <m:sty m:val="p"/>
          </m:rPr>
          <m:t>*</m:t>
        </m:r>
        <m:r>
          <m:rPr>
            <m:sty m:val="p"/>
          </m:rPr>
          <m:t>(</m:t>
        </m:r>
        <m:r>
          <m:t>J</m:t>
        </m:r>
        <m:r>
          <m:t>u</m:t>
        </m:r>
        <m:r>
          <m:t>l</m:t>
        </m:r>
        <m:r>
          <m:t>y</m:t>
        </m:r>
        <m:r>
          <m:t>27</m:t>
        </m:r>
        <m:r>
          <m:rPr>
            <m:sty m:val="p"/>
          </m:rPr>
          <m:t>)</m:t>
        </m:r>
        <m:r>
          <m:rPr>
            <m:sty m:val="p"/>
          </m:rPr>
          <m:t>,</m:t>
        </m:r>
        <m:r>
          <m:t>u</m:t>
        </m:r>
        <m:r>
          <m:t>p</m:t>
        </m:r>
        <m:r>
          <m:t>r</m:t>
        </m:r>
        <m:r>
          <m:t>o</m:t>
        </m:r>
        <m:r>
          <m:t>u</m:t>
        </m:r>
        <m:r>
          <m:t>g</m:t>
        </m:r>
        <m:r>
          <m:t>h</m:t>
        </m:r>
        <m:r>
          <m:t>l</m:t>
        </m:r>
        <m:r>
          <m:t>y</m:t>
        </m:r>
        <m:r>
          <m:rPr>
            <m:sty m:val="p"/>
          </m:rPr>
          <m:t>*</m:t>
        </m:r>
        <m:r>
          <m:rPr>
            <m:sty m:val="p"/>
          </m:rPr>
          <m:t>*</m:t>
        </m:r>
        <m:r>
          <m:rPr>
            <m:sty m:val="p"/>
          </m:rPr>
          <m:t>+</m:t>
        </m:r>
        <m:r>
          <m:t>13</m:t>
        </m:r>
      </m:oMath>
      <w:r>
        <w:t xml:space="preserve">130 at the start of 2026, and has modestly outperformed the utility sector (XLU ~+6% over the same span). Shares peaked near</w:t>
      </w:r>
      <w:r>
        <w:t xml:space="preserve"> </w:t>
      </w:r>
      <w:r>
        <w:rPr>
          <w:b/>
          <w:bCs/>
        </w:rPr>
        <w:t xml:space="preserve">$154 in late June</w:t>
      </w:r>
      <w:r>
        <w:t xml:space="preserve"> </w:t>
      </w:r>
      <w:r>
        <w:t xml:space="preserve">before drifting back. So expectations are reasonably full — the setup rewards clean execution plus positive data-center/Google commentary, and punishes any wobble on the September MPSC approvals or rate-case tone.</w:t>
      </w:r>
    </w:p>
    <w:p>
      <w:r>
        <w:pict>
          <v:rect style="width:0;height:1.5pt" o:hralign="center" o:hrstd="t" o:hr="t"/>
        </w:pict>
      </w:r>
    </w:p>
    <w:bookmarkEnd w:id="18"/>
    <w:bookmarkStart w:id="19" w:name="what-id-watch-on-the-call-checklist"/>
    <w:p>
      <w:pPr>
        <w:pStyle w:val="Heading2"/>
      </w:pPr>
      <w:r>
        <w:t xml:space="preserve">What I'd watch on the call (checklist)</w:t>
      </w:r>
    </w:p>
    <w:p>
      <w:pPr>
        <w:pStyle w:val="Compact"/>
        <w:numPr>
          <w:ilvl w:val="0"/>
          <w:numId w:val="1004"/>
        </w:numPr>
      </w:pPr>
      <w:r>
        <w:rPr>
          <w:b/>
          <w:bCs/>
        </w:rPr>
        <w:t xml:space="preserve">Reaffirm</w:t>
      </w:r>
      <w:r>
        <w:rPr>
          <w:b/>
          <w:bCs/>
        </w:rPr>
        <w:t xml:space="preserve"> </w:t>
      </w:r>
      <m:oMath>
        <m:r>
          <m:t>7.59</m:t>
        </m:r>
        <m:r>
          <m:rPr>
            <m:sty m:val="p"/>
          </m:rPr>
          <m:t>–</m:t>
        </m:r>
      </m:oMath>
      <w:r>
        <w:rPr>
          <w:b/>
          <w:bCs/>
        </w:rPr>
        <w:t xml:space="preserve">7.73 with top-end bias?</w:t>
      </w:r>
      <w:r>
        <w:t xml:space="preserve"> </w:t>
      </w:r>
      <w:r>
        <w:t xml:space="preserve">Any nod to RNG (45Z) upside vs. the conservative $50–60M assumption.</w:t>
      </w:r>
    </w:p>
    <w:p>
      <w:pPr>
        <w:pStyle w:val="Compact"/>
        <w:numPr>
          <w:ilvl w:val="0"/>
          <w:numId w:val="1004"/>
        </w:numPr>
      </w:pPr>
      <w:r>
        <w:rPr>
          <w:b/>
          <w:bCs/>
        </w:rPr>
        <w:t xml:space="preserve">Google MPSC approval confidence</w:t>
      </w:r>
      <w:r>
        <w:t xml:space="preserve"> </w:t>
      </w:r>
      <w:r>
        <w:t xml:space="preserve">and the exact timing/parameters for folding the $5B into the plan (likely EEI).</w:t>
      </w:r>
    </w:p>
    <w:p>
      <w:pPr>
        <w:pStyle w:val="Compact"/>
        <w:numPr>
          <w:ilvl w:val="0"/>
          <w:numId w:val="1004"/>
        </w:numPr>
      </w:pPr>
      <w:r>
        <w:rPr>
          <w:b/>
          <w:bCs/>
        </w:rPr>
        <w:t xml:space="preserve">A new signed data-center deal</w:t>
      </w:r>
      <w:r>
        <w:t xml:space="preserve"> </w:t>
      </w:r>
      <w:r>
        <w:t xml:space="preserve">(or the Vantage 350 MW BTM agreement) — the biggest positive catalyst.</w:t>
      </w:r>
    </w:p>
    <w:p>
      <w:pPr>
        <w:pStyle w:val="Compact"/>
        <w:numPr>
          <w:ilvl w:val="0"/>
          <w:numId w:val="1004"/>
        </w:numPr>
      </w:pPr>
      <w:r>
        <w:rPr>
          <w:b/>
          <w:bCs/>
        </w:rPr>
        <w:t xml:space="preserve">Electric rate-case posture</w:t>
      </w:r>
      <w:r>
        <w:t xml:space="preserve"> </w:t>
      </w:r>
      <w:r>
        <w:t xml:space="preserve">— staff/intervenor testimony, settlement path, and the multi-year "stay-out" mechanism.</w:t>
      </w:r>
    </w:p>
    <w:p>
      <w:pPr>
        <w:pStyle w:val="Compact"/>
        <w:numPr>
          <w:ilvl w:val="0"/>
          <w:numId w:val="1004"/>
        </w:numPr>
      </w:pPr>
      <w:r>
        <w:rPr>
          <w:b/>
          <w:bCs/>
        </w:rPr>
        <w:t xml:space="preserve">IRP timing (Q3'26)</w:t>
      </w:r>
      <w:r>
        <w:t xml:space="preserve"> </w:t>
      </w:r>
      <w:r>
        <w:t xml:space="preserve">and baseload/CCGT + storage CapEx trajectory.</w:t>
      </w:r>
    </w:p>
    <w:p>
      <w:pPr>
        <w:pStyle w:val="Compact"/>
        <w:numPr>
          <w:ilvl w:val="0"/>
          <w:numId w:val="1004"/>
        </w:numPr>
      </w:pPr>
      <w:r>
        <w:rPr>
          <w:b/>
          <w:bCs/>
        </w:rPr>
        <w:t xml:space="preserve">Energy Trading reversal</w:t>
      </w:r>
      <w:r>
        <w:t xml:space="preserve"> </w:t>
      </w:r>
      <w:r>
        <w:t xml:space="preserve">actually materializing in Q2.</w:t>
      </w:r>
    </w:p>
    <w:p>
      <w:pPr>
        <w:pStyle w:val="Compact"/>
        <w:numPr>
          <w:ilvl w:val="0"/>
          <w:numId w:val="1004"/>
        </w:numPr>
      </w:pPr>
      <w:r>
        <w:rPr>
          <w:b/>
          <w:bCs/>
        </w:rPr>
        <w:t xml:space="preserve">Financing color</w:t>
      </w:r>
      <w:r>
        <w:t xml:space="preserve"> </w:t>
      </w:r>
      <w:r>
        <w:t xml:space="preserve">— forward equity settlement, FFO/debt, and any asset-recycling signal.</w:t>
      </w:r>
    </w:p>
    <w:p>
      <w:pPr>
        <w:pStyle w:val="FirstParagraph"/>
      </w:pPr>
      <w:r>
        <w:rPr>
          <w:b/>
          <w:bCs/>
        </w:rPr>
        <w:t xml:space="preserve">Bottom line:</w:t>
      </w:r>
      <w:r>
        <w:t xml:space="preserve"> </w:t>
      </w:r>
      <w:r>
        <w:t xml:space="preserve">Treat Q2 EPS as a low-stakes seasonal print against a $1.36 year-ago comp; the stock will trade on data-center milestones (Google approval, next deal), regulatory tone, and the setup for the fall plan/CapEx update. DTE's history of under-promising/over-delivering and its high-end-of-guidance framing argue for a "beat-and-hold-guidance" quarter with the narrative tilted toward growth optionality.</w:t>
      </w:r>
    </w:p>
    <w:p>
      <w:pPr>
        <w:pStyle w:val="BodyText"/>
      </w:pPr>
      <w:r>
        <w:rPr>
          <w:i/>
          <w:iCs/>
        </w:rPr>
        <w:t xml:space="preserve">Note: I was unable to retrieve a live sell-side consensus figure for the quarter from the available tools — the framing above uses company guidance and the year-ago comparison rather than a Street estimate.</w:t>
      </w:r>
    </w:p>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2026-07-28T00:29:41Z</dcterms:created>
  <dcterms:modified xsi:type="dcterms:W3CDTF">2026-07-28T00:29:41Z</dcterms:modified>
</cp:coreProperties>
</file>

<file path=docProps/custom.xml><?xml version="1.0" encoding="utf-8"?>
<Properties xmlns="http://schemas.openxmlformats.org/officeDocument/2006/custom-properties" xmlns:vt="http://schemas.openxmlformats.org/officeDocument/2006/docPropsVTypes"/>
</file>