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Trading segment operating earnings (timing reversal)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DTE Electric segment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~$7.66 (midpoint of</w:t>
            </w:r>
            <w:r>
              <w:t xml:space="preserve"> </w:t>
            </w:r>
            <m:oMath>
              <m:r>
                <m:t>7.59</m:t>
              </m:r>
              <m:r>
                <m:rPr>
                  <m:sty m:val="p"/>
                </m:rPr>
                <m:t>−</m:t>
              </m:r>
            </m:oMath>
            <w:r>
              <w:t xml:space="preserve">7.73, high-end confidence reiterated) vs. cons ~$7.66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RNG tax credit contribution (Vantage)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Electric rate case outcome (ROE/revenue ask vs. likely award)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guide/ask ~</w:t>
            </w:r>
            <w:r>
              <w:t xml:space="preserve">$474M increase &amp; 10.25% ROE vs. cons/history-implied award ~$</w:t>
            </w:r>
            <w:r>
              <w:t xml:space="preserve">300M &amp; ~9.9% ROE (order expected Feb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likely EPS beat is driven largely by the previously-flagged Energy Trading timing reversal (a known, non-recurring shaping dynamic) rather than core segment strength, and full-year 2026 EPS guidance is expected to be reaffirmed at</w:t>
            </w:r>
            <w:r>
              <w:t xml:space="preserve"> </w:t>
            </w:r>
            <m:oMath>
              <m:r>
                <m:t>7.59</m:t>
              </m:r>
              <m:r>
                <m:rPr>
                  <m:sty m:val="p"/>
                </m:rPr>
                <m:t>−</m:t>
              </m:r>
            </m:oMath>
            <w:r>
              <w:t xml:space="preserve">7.73 rather than raised, limiting the read-through to out-year estimates. With the Google MPSC decision not due until ~Sept 10 and no new hyperscale deal confirmed on this call, there's little fresh positive catalyst to sustain a rally; meanwhile the newly filed $474M electric rate case (seeking 10.25% ROE) carries historical precedent of being settled well below the initial ask, and mixed sell-side stances (BMO trimmed PT, TD Cowen Hold) suggest analysts will likely trim near-term numbers even as they nudge long-term targets, causing an initial pop to partially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2026-07-28T00:29:59Z</dcterms:created>
  <dcterms:modified xsi:type="dcterms:W3CDTF">2026-07-28T00:29:59Z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