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14b7daef953d83e9481cf54e9ac4b01ec4d6729"/>
    <w:p>
      <w:pPr>
        <w:pStyle w:val="Heading1"/>
      </w:pPr>
      <w:r>
        <w:t xml:space="preserve">DTE Energy (NYSE: DTE) — Q2 2026 Earnings Preview</w:t>
      </w:r>
    </w:p>
    <w:p>
      <w:pPr>
        <w:pStyle w:val="FirstParagraph"/>
      </w:pPr>
      <w:r>
        <w:rPr>
          <w:b/>
          <w:bCs/>
        </w:rPr>
        <w:t xml:space="preserve">Report date:</w:t>
      </w:r>
      <w:r>
        <w:t xml:space="preserve"> </w:t>
      </w:r>
      <w:r>
        <w:t xml:space="preserve">July 28, 2026, before market open |</w:t>
      </w:r>
      <w:r>
        <w:t xml:space="preserve"> </w:t>
      </w:r>
      <w:r>
        <w:rPr>
          <w:b/>
          <w:bCs/>
        </w:rPr>
        <w:t xml:space="preserve">Call:</w:t>
      </w:r>
      <w:r>
        <w:t xml:space="preserve"> </w:t>
      </w:r>
      <w:r>
        <w:t xml:space="preserve">9:00 a.m. ET</w:t>
      </w:r>
    </w:p>
    <w:bookmarkStart w:id="9" w:name="setting-the-stage"/>
    <w:p>
      <w:pPr>
        <w:pStyle w:val="Heading2"/>
      </w:pPr>
      <w:r>
        <w:t xml:space="preserve">Setting the Stage</w:t>
      </w:r>
    </w:p>
    <w:p>
      <w:pPr>
        <w:pStyle w:val="FirstParagraph"/>
      </w:pPr>
      <w:r>
        <w:t xml:space="preserve">DTE enters this print on a run of positive momentum. Shares have appreciated from roughly</w:t>
      </w:r>
      <w:r>
        <w:t xml:space="preserve"> </w:t>
      </w:r>
      <m:oMath>
        <m:r>
          <m:t>130</m:t>
        </m:r>
        <m:r>
          <m:t>i</m:t>
        </m:r>
        <m:r>
          <m:t>n</m:t>
        </m:r>
        <m:r>
          <m:t>e</m:t>
        </m:r>
        <m:r>
          <m:t>a</m:t>
        </m:r>
        <m:r>
          <m:t>r</m:t>
        </m:r>
        <m:r>
          <m:t>l</m:t>
        </m:r>
        <m:r>
          <m:t>y</m:t>
        </m:r>
        <m:r>
          <m:t>J</m:t>
        </m:r>
        <m:r>
          <m:t>a</m:t>
        </m:r>
        <m:r>
          <m:t>n</m:t>
        </m:r>
        <m:r>
          <m:t>u</m:t>
        </m:r>
        <m:r>
          <m:t>a</m:t>
        </m:r>
        <m:r>
          <m:t>r</m:t>
        </m:r>
        <m:r>
          <m:t>y</m:t>
        </m:r>
        <m:r>
          <m:t>t</m:t>
        </m:r>
        <m:r>
          <m:t>o</m:t>
        </m:r>
        <m:r>
          <m:t>t</m:t>
        </m:r>
        <m:r>
          <m:t>h</m:t>
        </m:r>
        <m:r>
          <m:t>e</m:t>
        </m:r>
        <m:r>
          <m:t>m</m:t>
        </m:r>
        <m:r>
          <m:t>i</m:t>
        </m:r>
        <m:r>
          <m:t>d</m:t>
        </m:r>
        <m:r>
          <m:rPr>
            <m:sty m:val="p"/>
          </m:rPr>
          <m:t>−</m:t>
        </m:r>
      </m:oMath>
      <w:r>
        <w:t xml:space="preserve">140s/low-$150s currently (peaking near</w:t>
      </w:r>
      <w:r>
        <w:t xml:space="preserve"> </w:t>
      </w:r>
      <m:oMath>
        <m:r>
          <m:t>154</m:t>
        </m:r>
        <m:r>
          <m:rPr>
            <m:sty m:val="p"/>
          </m:rPr>
          <m:t>−</m:t>
        </m:r>
        <m:r>
          <m:t>155</m:t>
        </m:r>
        <m:r>
          <m:t>i</m:t>
        </m:r>
        <m:r>
          <m:t>n</m:t>
        </m:r>
        <m:r>
          <m:t>l</m:t>
        </m:r>
        <m:r>
          <m:t>a</m:t>
        </m:r>
        <m:r>
          <m:t>t</m:t>
        </m:r>
        <m:r>
          <m:t>e</m:t>
        </m:r>
        <m:r>
          <m:t>J</m:t>
        </m:r>
        <m:r>
          <m:t>u</m:t>
        </m:r>
        <m:r>
          <m:t>n</m:t>
        </m:r>
        <m:r>
          <m:t>e</m:t>
        </m:r>
        <m:r>
          <m:rPr>
            <m:sty m:val="p"/>
          </m:rPr>
          <m:t>)</m:t>
        </m:r>
        <m:r>
          <m:rPr>
            <m:sty m:val="p"/>
          </m:rPr>
          <m:t>,</m:t>
        </m:r>
        <m:r>
          <m:t>r</m:t>
        </m:r>
        <m:r>
          <m:t>e</m:t>
        </m:r>
        <m:r>
          <m:t>f</m:t>
        </m:r>
        <m:r>
          <m:t>l</m:t>
        </m:r>
        <m:r>
          <m:t>e</m:t>
        </m:r>
        <m:r>
          <m:t>c</m:t>
        </m:r>
        <m:r>
          <m:t>t</m:t>
        </m:r>
        <m:r>
          <m:t>i</m:t>
        </m:r>
        <m:r>
          <m:t>n</m:t>
        </m:r>
        <m:r>
          <m:t>g</m:t>
        </m:r>
        <m:r>
          <m:t>i</m:t>
        </m:r>
        <m:r>
          <m:t>n</m:t>
        </m:r>
        <m:r>
          <m:t>v</m:t>
        </m:r>
        <m:r>
          <m:t>e</m:t>
        </m:r>
        <m:r>
          <m:t>s</m:t>
        </m:r>
        <m:r>
          <m:t>t</m:t>
        </m:r>
        <m:r>
          <m:t>o</m:t>
        </m:r>
        <m:r>
          <m:t>r</m:t>
        </m:r>
        <m:r>
          <m:t>e</m:t>
        </m:r>
        <m:r>
          <m:t>n</m:t>
        </m:r>
        <m:r>
          <m:t>t</m:t>
        </m:r>
        <m:r>
          <m:t>h</m:t>
        </m:r>
        <m:r>
          <m:t>u</m:t>
        </m:r>
        <m:r>
          <m:t>s</m:t>
        </m:r>
        <m:r>
          <m:t>i</m:t>
        </m:r>
        <m:r>
          <m:t>a</m:t>
        </m:r>
        <m:r>
          <m:t>s</m:t>
        </m:r>
        <m:r>
          <m:t>m</m:t>
        </m:r>
        <m:r>
          <m:t>a</m:t>
        </m:r>
        <m:r>
          <m:t>r</m:t>
        </m:r>
        <m:r>
          <m:t>o</m:t>
        </m:r>
        <m:r>
          <m:t>u</m:t>
        </m:r>
        <m:r>
          <m:t>n</m:t>
        </m:r>
        <m:r>
          <m:t>d</m:t>
        </m:r>
        <m:r>
          <m:t>t</m:t>
        </m:r>
        <m:r>
          <m:t>h</m:t>
        </m:r>
        <m:r>
          <m:t>e</m:t>
        </m:r>
        <m:r>
          <m:t>c</m:t>
        </m:r>
        <m:r>
          <m:t>o</m:t>
        </m:r>
        <m:r>
          <m:t>m</m:t>
        </m:r>
        <m:r>
          <m:t>p</m:t>
        </m:r>
        <m:r>
          <m:t>a</m:t>
        </m:r>
        <m:r>
          <m:t>n</m:t>
        </m:r>
        <m:sSup>
          <m:e>
            <m:r>
              <m:t>y</m:t>
            </m:r>
          </m:e>
          <m:sup>
            <m:r>
              <m:rPr>
                <m:sty m:val="p"/>
              </m:rPr>
              <m:t>′</m:t>
            </m:r>
          </m:sup>
        </m:sSup>
        <m:r>
          <m:t>s</m:t>
        </m:r>
        <m:r>
          <m:t>d</m:t>
        </m:r>
        <m:r>
          <m:t>a</m:t>
        </m:r>
        <m:r>
          <m:t>t</m:t>
        </m:r>
        <m:r>
          <m:t>a</m:t>
        </m:r>
        <m:r>
          <m:rPr>
            <m:sty m:val="p"/>
          </m:rPr>
          <m:t>−</m:t>
        </m:r>
        <m:r>
          <m:t>c</m:t>
        </m:r>
        <m:r>
          <m:t>e</m:t>
        </m:r>
        <m:r>
          <m:t>n</m:t>
        </m:r>
        <m:r>
          <m:t>t</m:t>
        </m:r>
        <m:r>
          <m:t>e</m:t>
        </m:r>
        <m:r>
          <m:t>r</m:t>
        </m:r>
        <m:r>
          <m:t>g</m:t>
        </m:r>
        <m:r>
          <m:t>r</m:t>
        </m:r>
        <m:r>
          <m:t>o</m:t>
        </m:r>
        <m:r>
          <m:t>w</m:t>
        </m:r>
        <m:r>
          <m:t>t</m:t>
        </m:r>
        <m:r>
          <m:t>h</m:t>
        </m:r>
        <m:r>
          <m:t>p</m:t>
        </m:r>
        <m:r>
          <m:t>i</m:t>
        </m:r>
        <m:r>
          <m:t>p</m:t>
        </m:r>
        <m:r>
          <m:t>e</m:t>
        </m:r>
        <m:r>
          <m:t>l</m:t>
        </m:r>
        <m:r>
          <m:t>i</m:t>
        </m:r>
        <m:r>
          <m:t>n</m:t>
        </m:r>
        <m:r>
          <m:t>e</m:t>
        </m:r>
        <m:r>
          <m:rPr>
            <m:sty m:val="p"/>
          </m:rPr>
          <m:t>,</m:t>
        </m:r>
        <m:r>
          <m:t>t</m:t>
        </m:r>
        <m:r>
          <m:t>h</m:t>
        </m:r>
        <m:r>
          <m:t>o</m:t>
        </m:r>
        <m:r>
          <m:t>u</m:t>
        </m:r>
        <m:r>
          <m:t>g</m:t>
        </m:r>
        <m:r>
          <m:t>h</m:t>
        </m:r>
        <m:r>
          <m:t>t</m:t>
        </m:r>
        <m:r>
          <m:t>h</m:t>
        </m:r>
        <m:r>
          <m:t>e</m:t>
        </m:r>
        <m:r>
          <m:t>s</m:t>
        </m:r>
        <m:r>
          <m:t>t</m:t>
        </m:r>
        <m:r>
          <m:t>o</m:t>
        </m:r>
        <m:r>
          <m:t>c</m:t>
        </m:r>
        <m:r>
          <m:t>k</m:t>
        </m:r>
        <m:r>
          <m:t>h</m:t>
        </m:r>
        <m:r>
          <m:t>a</m:t>
        </m:r>
        <m:r>
          <m:t>s</m:t>
        </m:r>
        <m:r>
          <m:t>p</m:t>
        </m:r>
        <m:r>
          <m:t>u</m:t>
        </m:r>
        <m:r>
          <m:t>l</m:t>
        </m:r>
        <m:r>
          <m:t>l</m:t>
        </m:r>
        <m:r>
          <m:t>e</m:t>
        </m:r>
        <m:r>
          <m:t>d</m:t>
        </m:r>
        <m:r>
          <m:t>b</m:t>
        </m:r>
        <m:r>
          <m:t>a</m:t>
        </m:r>
        <m:r>
          <m:t>c</m:t>
        </m:r>
        <m:r>
          <m:t>k</m:t>
        </m:r>
        <m:r>
          <m:t>m</m:t>
        </m:r>
        <m:r>
          <m:t>o</m:t>
        </m:r>
        <m:r>
          <m:t>d</m:t>
        </m:r>
        <m:r>
          <m:t>e</m:t>
        </m:r>
        <m:r>
          <m:t>s</m:t>
        </m:r>
        <m:r>
          <m:t>t</m:t>
        </m:r>
        <m:r>
          <m:t>l</m:t>
        </m:r>
        <m:r>
          <m:t>y</m:t>
        </m:r>
        <m:r>
          <m:t>o</m:t>
        </m:r>
        <m:r>
          <m:t>v</m:t>
        </m:r>
        <m:r>
          <m:t>e</m:t>
        </m:r>
        <m:r>
          <m:t>r</m:t>
        </m:r>
        <m:r>
          <m:t>t</m:t>
        </m:r>
        <m:r>
          <m:t>h</m:t>
        </m:r>
        <m:r>
          <m:t>e</m:t>
        </m:r>
        <m:r>
          <m:t>p</m:t>
        </m:r>
        <m:r>
          <m:t>a</m:t>
        </m:r>
        <m:r>
          <m:t>s</m:t>
        </m:r>
        <m:r>
          <m:t>t</m:t>
        </m:r>
        <m:r>
          <m:t>m</m:t>
        </m:r>
        <m:r>
          <m:t>o</m:t>
        </m:r>
        <m:r>
          <m:t>n</m:t>
        </m:r>
        <m:r>
          <m:t>t</m:t>
        </m:r>
        <m:r>
          <m:t>h</m:t>
        </m:r>
        <m:r>
          <m:rPr>
            <m:sty m:val="p"/>
          </m:rPr>
          <m:t>(</m:t>
        </m:r>
        <m:r>
          <m:t>f</m:t>
        </m:r>
        <m:r>
          <m:t>r</m:t>
        </m:r>
        <m:r>
          <m:t>o</m:t>
        </m:r>
        <m:r>
          <m:t>m</m:t>
        </m:r>
        <m:r>
          <m:t> </m:t>
        </m:r>
      </m:oMath>
      <w:r>
        <w:t xml:space="preserve">154 on 6/26 to ~$147 on 7/27) amid broader market volatility and reduced Q2 estimates.</w:t>
      </w:r>
    </w:p>
    <w:p>
      <w:pPr>
        <w:pStyle w:val="BodyText"/>
      </w:pPr>
      <w:r>
        <w:t xml:space="preserve">Consensus estimates for the quarter have been notably volatile and dispersed heading into the print — sell-side EPS forecasts range from roughly</w:t>
      </w:r>
      <w:r>
        <w:t xml:space="preserve"> </w:t>
      </w:r>
      <m:oMath>
        <m:r>
          <m:t>1.13</m:t>
        </m:r>
        <m:r>
          <m:rPr>
            <m:sty m:val="p"/>
          </m:rPr>
          <m:t>–</m:t>
        </m:r>
      </m:oMath>
      <w:r>
        <w:t xml:space="preserve">1.29, with one tracker noting estimates "have declined 25% over the past two months and dropped another 10% in the past week alone," while revenue estimates have fallen about 7% over the same period, according to Investing.com. For context, DTE posted</w:t>
      </w:r>
      <w:r>
        <w:t xml:space="preserve"> </w:t>
      </w:r>
      <w:r>
        <w:rPr>
          <w:b/>
          <w:bCs/>
        </w:rPr>
        <w:t xml:space="preserve">operating EPS of $1.36 in Q2 2025</w:t>
      </w:r>
      <w:r>
        <w:t xml:space="preserve">, so even the higher end of current estimates implies a step-down year-over-year — unusual for a utility guiding to 6-8% annual EPS growth, and a sign that analysts are baking in energy-trading timing noise and a tougher year-over-year comp rather than a fundamental deceleration.</w:t>
      </w:r>
    </w:p>
    <w:bookmarkEnd w:id="9"/>
    <w:bookmarkStart w:id="10" w:name="q1-2026-recap--why-the-bar-matters"/>
    <w:p>
      <w:pPr>
        <w:pStyle w:val="Heading2"/>
      </w:pPr>
      <w:r>
        <w:t xml:space="preserve">Q1 2026 Recap — Why the Bar Matters</w:t>
      </w:r>
    </w:p>
    <w:p>
      <w:pPr>
        <w:pStyle w:val="FirstParagraph"/>
      </w:pPr>
      <w:r>
        <w:t xml:space="preserve">DTE's first quarter set an upbeat tone. Operating earnings were $407 million, or $1.95 per share, and management explicitly said the results position the company "well to achieve the high end of our guidance range in 2026." Segment highlights:</w:t>
      </w:r>
    </w:p>
    <w:p>
      <w:pPr>
        <w:pStyle w:val="Compact"/>
        <w:numPr>
          <w:ilvl w:val="0"/>
          <w:numId w:val="1001"/>
        </w:numPr>
      </w:pPr>
      <w:r>
        <w:rPr>
          <w:b/>
          <w:bCs/>
        </w:rPr>
        <w:t xml:space="preserve">DTE Electric:</w:t>
      </w:r>
      <w:r>
        <w:t xml:space="preserve"> </w:t>
      </w:r>
      <w:r>
        <w:t xml:space="preserve">$218 million, up $71M YoY on favorable tax timing, new rate implementation, and colder weather, partly offset by higher rate base/O&amp;M.</w:t>
      </w:r>
    </w:p>
    <w:p>
      <w:pPr>
        <w:pStyle w:val="Compact"/>
        <w:numPr>
          <w:ilvl w:val="0"/>
          <w:numId w:val="1001"/>
        </w:numPr>
      </w:pPr>
      <w:r>
        <w:rPr>
          <w:b/>
          <w:bCs/>
        </w:rPr>
        <w:t xml:space="preserve">DTE Gas:</w:t>
      </w:r>
      <w:r>
        <w:t xml:space="preserve"> </w:t>
      </w:r>
      <w:r>
        <w:t xml:space="preserve">$210 million, up modestly on colder weather and IRM revenue.</w:t>
      </w:r>
    </w:p>
    <w:p>
      <w:pPr>
        <w:pStyle w:val="Compact"/>
        <w:numPr>
          <w:ilvl w:val="0"/>
          <w:numId w:val="1001"/>
        </w:numPr>
      </w:pPr>
      <w:r>
        <w:rPr>
          <w:b/>
          <w:bCs/>
        </w:rPr>
        <w:t xml:space="preserve">DTE Vantage:</w:t>
      </w:r>
      <w:r>
        <w:t xml:space="preserve"> </w:t>
      </w:r>
      <w:r>
        <w:t xml:space="preserve">$48 million operating (up</w:t>
      </w:r>
      <w:r>
        <w:t xml:space="preserve"> </w:t>
      </w:r>
      <m:oMath>
        <m:r>
          <m:t>9</m:t>
        </m:r>
        <m:r>
          <m:t>M</m:t>
        </m:r>
        <m:r>
          <m:rPr>
            <m:sty m:val="p"/>
          </m:rPr>
          <m:t>)</m:t>
        </m:r>
        <m:r>
          <m:rPr>
            <m:sty m:val="p"/>
          </m:rPr>
          <m:t>,</m:t>
        </m:r>
        <m:r>
          <m:t>b</m:t>
        </m:r>
        <m:r>
          <m:t>u</m:t>
        </m:r>
        <m:r>
          <m:t>t</m:t>
        </m:r>
        <m:r>
          <m:t>G</m:t>
        </m:r>
        <m:r>
          <m:t>A</m:t>
        </m:r>
        <m:r>
          <m:t>A</m:t>
        </m:r>
        <m:r>
          <m:t>P</m:t>
        </m:r>
        <m:r>
          <m:t>n</m:t>
        </m:r>
        <m:r>
          <m:t>e</m:t>
        </m:r>
        <m:r>
          <m:t>t</m:t>
        </m:r>
        <m:r>
          <m:t>i</m:t>
        </m:r>
        <m:r>
          <m:t>n</m:t>
        </m:r>
        <m:r>
          <m:t>c</m:t>
        </m:r>
        <m:r>
          <m:t>o</m:t>
        </m:r>
        <m:r>
          <m:t>m</m:t>
        </m:r>
        <m:r>
          <m:t>e</m:t>
        </m:r>
        <m:r>
          <m:t>w</m:t>
        </m:r>
        <m:r>
          <m:t>a</m:t>
        </m:r>
        <m:r>
          <m:t>s</m:t>
        </m:r>
        <m:r>
          <m:t>a</m:t>
        </m:r>
        <m:r>
          <m:t>c</m:t>
        </m:r>
        <m:r>
          <m:t>t</m:t>
        </m:r>
        <m:r>
          <m:t>u</m:t>
        </m:r>
        <m:r>
          <m:t>a</m:t>
        </m:r>
        <m:r>
          <m:t>l</m:t>
        </m:r>
        <m:r>
          <m:t>l</m:t>
        </m:r>
        <m:r>
          <m:t>y</m:t>
        </m:r>
        <m:r>
          <m:t>a</m:t>
        </m:r>
        <m:r>
          <m:rPr>
            <m:sty m:val="p"/>
          </m:rPr>
          <m:t>*</m:t>
        </m:r>
        <m:r>
          <m:rPr>
            <m:sty m:val="p"/>
          </m:rPr>
          <m:t>*</m:t>
        </m:r>
      </m:oMath>
      <w:r>
        <w:t xml:space="preserve">59 million loss** because the segment absorbed a $112 million charge tied to the EES Coke Battery Clean Air Act judgment (see Litigation section below) — a one-time item excluded from operating earnings.</w:t>
      </w:r>
    </w:p>
    <w:p>
      <w:pPr>
        <w:pStyle w:val="Compact"/>
        <w:numPr>
          <w:ilvl w:val="0"/>
          <w:numId w:val="1001"/>
        </w:numPr>
      </w:pPr>
      <w:r>
        <w:rPr>
          <w:b/>
          <w:bCs/>
        </w:rPr>
        <w:t xml:space="preserve">Energy Trading:</w:t>
      </w:r>
      <w:r>
        <w:t xml:space="preserve"> </w:t>
      </w:r>
      <w:r>
        <w:t xml:space="preserve">Earnings were $59 million lower than Q1 2025 due to expected shaping/timing in the power portfolio; management said it remains "highly confident in achieving the high end of the full year guidance range in Energy Trading as this timing reverses through contracted and hedged positions over the remainder of the year" — a dynamic to watch for confirmation in Q2.</w:t>
      </w:r>
    </w:p>
    <w:p>
      <w:pPr>
        <w:pStyle w:val="Compact"/>
        <w:numPr>
          <w:ilvl w:val="0"/>
          <w:numId w:val="1001"/>
        </w:numPr>
      </w:pPr>
      <w:r>
        <w:rPr>
          <w:b/>
          <w:bCs/>
        </w:rPr>
        <w:t xml:space="preserve">Corporate &amp; Other:</w:t>
      </w:r>
      <w:r>
        <w:t xml:space="preserve"> </w:t>
      </w:r>
      <w:r>
        <w:t xml:space="preserve">Unfavorable by $54 million on tax timing and higher interest expense.</w:t>
      </w:r>
    </w:p>
    <w:p>
      <w:pPr>
        <w:pStyle w:val="FirstParagraph"/>
      </w:pPr>
      <w:r>
        <w:t xml:space="preserve">Management reiterated full-year 2026 operating EPS guidance of</w:t>
      </w:r>
      <w:r>
        <w:t xml:space="preserve"> </w:t>
      </w:r>
      <m:oMath>
        <m:r>
          <m:t>7.59</m:t>
        </m:r>
        <m:r>
          <m:rPr>
            <m:sty m:val="p"/>
          </m:rPr>
          <m:t>–</m:t>
        </m:r>
      </m:oMath>
      <w:r>
        <w:rPr>
          <w:b/>
          <w:bCs/>
        </w:rPr>
        <w:t xml:space="preserve">7.73</w:t>
      </w:r>
      <w:r>
        <w:t xml:space="preserve">, with continued confidence in landing at the high end "driven by RNG tax credits and the flexibility they provide," and reaffirmed the long-term 6-8% operating EPS CAGR through 2030.</w:t>
      </w:r>
    </w:p>
    <w:bookmarkEnd w:id="10"/>
    <w:bookmarkStart w:id="11" w:name="Xdc6e0d30a3bcd222cd28d8961427a3b738a5780"/>
    <w:p>
      <w:pPr>
        <w:pStyle w:val="Heading2"/>
      </w:pPr>
      <w:r>
        <w:t xml:space="preserve">The Big Story: Data Centers and Load Growth</w:t>
      </w:r>
    </w:p>
    <w:p>
      <w:pPr>
        <w:pStyle w:val="FirstParagraph"/>
      </w:pPr>
      <w:r>
        <w:t xml:space="preserve">This remains the single most important debate for DTE stock:</w:t>
      </w:r>
    </w:p>
    <w:p>
      <w:pPr>
        <w:pStyle w:val="Compact"/>
        <w:numPr>
          <w:ilvl w:val="0"/>
          <w:numId w:val="1002"/>
        </w:numPr>
      </w:pPr>
      <w:r>
        <w:rPr>
          <w:b/>
          <w:bCs/>
        </w:rPr>
        <w:t xml:space="preserve">Oracle (1.4 GW):</w:t>
      </w:r>
      <w:r>
        <w:t xml:space="preserve"> </w:t>
      </w:r>
      <w:r>
        <w:t xml:space="preserve">Contracts are approved and construction is underway, supported by existing capacity plus planned battery storage. Management said Oracle's ramp "is relatively small" in 2026 but "shoots up exponentially beyond '26," with the facility expected to connect to the grid by year-end 2026. Once fully ramped, Oracle is expected to drive about $300 million of annual affordability benefit to existing customers.</w:t>
      </w:r>
    </w:p>
    <w:p>
      <w:pPr>
        <w:pStyle w:val="Compact"/>
        <w:numPr>
          <w:ilvl w:val="0"/>
          <w:numId w:val="1002"/>
        </w:numPr>
      </w:pPr>
      <w:r>
        <w:rPr>
          <w:b/>
          <w:bCs/>
        </w:rPr>
        <w:t xml:space="preserve">Google (1.0 GW):</w:t>
      </w:r>
      <w:r>
        <w:t xml:space="preserve"> </w:t>
      </w:r>
      <w:r>
        <w:t xml:space="preserve">Contracts were filed with the MPSC in March 2026; management expects an order around September 10, 2026, and noted a positive signal that the commission will decide without a contested-case hearing. Full ramp is targeted by end of 2028, and the deal could drive roughly</w:t>
      </w:r>
      <w:r>
        <w:t xml:space="preserve"> </w:t>
      </w:r>
      <m:oMath>
        <m:r>
          <m:t>5</m:t>
        </m:r>
        <m:r>
          <m:t>b</m:t>
        </m:r>
        <m:r>
          <m:t>i</m:t>
        </m:r>
        <m:r>
          <m:t>l</m:t>
        </m:r>
        <m:r>
          <m:t>l</m:t>
        </m:r>
        <m:r>
          <m:t>i</m:t>
        </m:r>
        <m:r>
          <m:t>o</m:t>
        </m:r>
        <m:r>
          <m:t>n</m:t>
        </m:r>
        <m:r>
          <m:t>o</m:t>
        </m:r>
        <m:r>
          <m:t>f</m:t>
        </m:r>
        <m:r>
          <m:t>i</m:t>
        </m:r>
        <m:r>
          <m:t>n</m:t>
        </m:r>
        <m:r>
          <m:t>c</m:t>
        </m:r>
        <m:r>
          <m:t>r</m:t>
        </m:r>
        <m:r>
          <m:t>e</m:t>
        </m:r>
        <m:r>
          <m:t>m</m:t>
        </m:r>
        <m:r>
          <m:t>e</m:t>
        </m:r>
        <m:r>
          <m:t>n</m:t>
        </m:r>
        <m:r>
          <m:t>t</m:t>
        </m:r>
        <m:r>
          <m:t>a</m:t>
        </m:r>
        <m:r>
          <m:t>l</m:t>
        </m:r>
        <m:r>
          <m:t>g</m:t>
        </m:r>
        <m:r>
          <m:t>e</m:t>
        </m:r>
        <m:r>
          <m:t>n</m:t>
        </m:r>
        <m:r>
          <m:t>e</m:t>
        </m:r>
        <m:r>
          <m:t>r</m:t>
        </m:r>
        <m:r>
          <m:t>a</m:t>
        </m:r>
        <m:r>
          <m:t>t</m:t>
        </m:r>
        <m:r>
          <m:t>i</m:t>
        </m:r>
        <m:r>
          <m:t>o</m:t>
        </m:r>
        <m:r>
          <m:t>n</m:t>
        </m:r>
        <m:r>
          <m:rPr>
            <m:sty m:val="p"/>
          </m:rPr>
          <m:t>/</m:t>
        </m:r>
        <m:r>
          <m:t>s</m:t>
        </m:r>
        <m:r>
          <m:t>t</m:t>
        </m:r>
        <m:r>
          <m:t>o</m:t>
        </m:r>
        <m:r>
          <m:t>r</m:t>
        </m:r>
        <m:r>
          <m:t>a</m:t>
        </m:r>
        <m:r>
          <m:t>g</m:t>
        </m:r>
        <m:r>
          <m:t>e</m:t>
        </m:r>
        <m:r>
          <m:t>c</m:t>
        </m:r>
        <m:r>
          <m:t>a</m:t>
        </m:r>
        <m:r>
          <m:t>p</m:t>
        </m:r>
        <m:r>
          <m:t>e</m:t>
        </m:r>
        <m:r>
          <m:t>x</m:t>
        </m:r>
        <m:r>
          <m:t>t</m:t>
        </m:r>
        <m:r>
          <m:t>h</m:t>
        </m:r>
        <m:r>
          <m:t>r</m:t>
        </m:r>
        <m:r>
          <m:t>o</m:t>
        </m:r>
        <m:r>
          <m:t>u</m:t>
        </m:r>
        <m:r>
          <m:t>g</m:t>
        </m:r>
        <m:r>
          <m:t>h</m:t>
        </m:r>
        <m:r>
          <m:t>2032</m:t>
        </m:r>
        <m:r>
          <m:rPr>
            <m:sty m:val="p"/>
          </m:rPr>
          <m:t>,</m:t>
        </m:r>
        <m:r>
          <m:t>w</m:t>
        </m:r>
        <m:r>
          <m:t>i</m:t>
        </m:r>
        <m:r>
          <m:t>t</m:t>
        </m:r>
        <m:r>
          <m:t>h</m:t>
        </m:r>
        <m:r>
          <m:t>a</m:t>
        </m:r>
        <m:r>
          <m:t>b</m:t>
        </m:r>
        <m:r>
          <m:t>o</m:t>
        </m:r>
        <m:r>
          <m:t>u</m:t>
        </m:r>
        <m:r>
          <m:t>t</m:t>
        </m:r>
        <m:r>
          <m:t>40</m:t>
        </m:r>
      </m:oMath>
      <w:r>
        <w:t xml:space="preserve">1.7 billion.</w:t>
      </w:r>
    </w:p>
    <w:p>
      <w:pPr>
        <w:pStyle w:val="Compact"/>
        <w:numPr>
          <w:ilvl w:val="0"/>
          <w:numId w:val="1002"/>
        </w:numPr>
      </w:pPr>
      <w:r>
        <w:rPr>
          <w:b/>
          <w:bCs/>
        </w:rPr>
        <w:t xml:space="preserve">Pipeline beyond Oracle/Google:</w:t>
      </w:r>
      <w:r>
        <w:t xml:space="preserve"> </w:t>
      </w:r>
      <w:r>
        <w:t xml:space="preserve">Management described being in "late-stage negotiations" on roughly 2 GW of additional hyperscale load (at least one site with zoning already complete), with another 3-4 GW further back in the pipeline, and reiterated a goal of signing another deal "before the end of the year." Combined hyperscale exposure is expected to reach roughly 40% of load concentration once fully ramped.</w:t>
      </w:r>
    </w:p>
    <w:p>
      <w:pPr>
        <w:pStyle w:val="Compact"/>
        <w:numPr>
          <w:ilvl w:val="0"/>
          <w:numId w:val="1002"/>
        </w:numPr>
      </w:pPr>
      <w:r>
        <w:rPr>
          <w:b/>
          <w:bCs/>
        </w:rPr>
        <w:t xml:space="preserve">DTE Vantage</w:t>
      </w:r>
      <w:r>
        <w:t xml:space="preserve"> </w:t>
      </w:r>
      <w:r>
        <w:t xml:space="preserve">is also pursuing a separate ~350 MW behind-the-meter data-center project, described as being in "the short strokes" toward a definitive agreement.</w:t>
      </w:r>
    </w:p>
    <w:p>
      <w:pPr>
        <w:pStyle w:val="FirstParagraph"/>
      </w:pPr>
      <w:r>
        <w:rPr>
          <w:b/>
          <w:bCs/>
        </w:rPr>
        <w:t xml:space="preserve">What to listen for on the call:</w:t>
      </w:r>
      <w:r>
        <w:t xml:space="preserve"> </w:t>
      </w:r>
      <w:r>
        <w:t xml:space="preserve">any incremental color on the ~2 GW "late-stage" negotiations, updated timing on the Google MPSC order, and whether management previews any changes to the 5-year capital plan ahead of the Q3/EEI update (when Google capex is expected to be formally layered in).</w:t>
      </w:r>
    </w:p>
    <w:bookmarkEnd w:id="11"/>
    <w:bookmarkStart w:id="12" w:name="regulatory-backdrop"/>
    <w:p>
      <w:pPr>
        <w:pStyle w:val="Heading2"/>
      </w:pPr>
      <w:r>
        <w:t xml:space="preserve">Regulatory Backdrop</w:t>
      </w:r>
    </w:p>
    <w:p>
      <w:pPr>
        <w:pStyle w:val="Compact"/>
        <w:numPr>
          <w:ilvl w:val="0"/>
          <w:numId w:val="1003"/>
        </w:numPr>
      </w:pPr>
      <w:r>
        <w:rPr>
          <w:b/>
          <w:bCs/>
        </w:rPr>
        <w:t xml:space="preserve">2026 Electric Rate Case (filed April 28, 2026):</w:t>
      </w:r>
      <w:r>
        <w:t xml:space="preserve"> </w:t>
      </w:r>
      <w:r>
        <w:t xml:space="preserve">Seeking a $474 million base rate increase and an ROE increase to 10.25% (from 9.9%), with an order expected February 2027. This case is central to the "excess margin" mechanism management proposed, which — if the Oracle load ramps on schedule by end of 2027 and receives approvals — could keep DTE Electric out of another rate case until at least 2028.</w:t>
      </w:r>
    </w:p>
    <w:p>
      <w:pPr>
        <w:pStyle w:val="Compact"/>
        <w:numPr>
          <w:ilvl w:val="0"/>
          <w:numId w:val="1003"/>
        </w:numPr>
      </w:pPr>
      <w:r>
        <w:rPr>
          <w:b/>
          <w:bCs/>
        </w:rPr>
        <w:t xml:space="preserve">Prior electric case:</w:t>
      </w:r>
      <w:r>
        <w:t xml:space="preserve"> </w:t>
      </w:r>
      <w:r>
        <w:t xml:space="preserve">MPSC approved a</w:t>
      </w:r>
      <w:r>
        <w:t xml:space="preserve"> </w:t>
      </w:r>
      <m:oMath>
        <m:r>
          <m:t>242</m:t>
        </m:r>
        <m:r>
          <m:t>m</m:t>
        </m:r>
        <m:r>
          <m:t>i</m:t>
        </m:r>
        <m:r>
          <m:t>l</m:t>
        </m:r>
        <m:r>
          <m:t>l</m:t>
        </m:r>
        <m:r>
          <m:t>i</m:t>
        </m:r>
        <m:r>
          <m:t>o</m:t>
        </m:r>
        <m:r>
          <m:t>n</m:t>
        </m:r>
        <m:r>
          <m:t>a</m:t>
        </m:r>
        <m:r>
          <m:t>n</m:t>
        </m:r>
        <m:r>
          <m:t>n</m:t>
        </m:r>
        <m:r>
          <m:t>u</m:t>
        </m:r>
        <m:r>
          <m:t>a</m:t>
        </m:r>
        <m:r>
          <m:t>l</m:t>
        </m:r>
        <m:r>
          <m:t>r</m:t>
        </m:r>
        <m:r>
          <m:t>e</m:t>
        </m:r>
        <m:r>
          <m:t>v</m:t>
        </m:r>
        <m:r>
          <m:t>e</m:t>
        </m:r>
        <m:r>
          <m:t>n</m:t>
        </m:r>
        <m:r>
          <m:t>u</m:t>
        </m:r>
        <m:r>
          <m:t>e</m:t>
        </m:r>
        <m:r>
          <m:t>i</m:t>
        </m:r>
        <m:r>
          <m:t>n</m:t>
        </m:r>
        <m:r>
          <m:t>c</m:t>
        </m:r>
        <m:r>
          <m:t>r</m:t>
        </m:r>
        <m:r>
          <m:t>e</m:t>
        </m:r>
        <m:r>
          <m:t>a</m:t>
        </m:r>
        <m:r>
          <m:t>s</m:t>
        </m:r>
        <m:r>
          <m:t>e</m:t>
        </m:r>
        <m:r>
          <m:rPr>
            <m:sty m:val="p"/>
          </m:rPr>
          <m:t>(</m:t>
        </m:r>
        <m:r>
          <m:t>v</m:t>
        </m:r>
        <m:r>
          <m:t>e</m:t>
        </m:r>
        <m:r>
          <m:t>r</m:t>
        </m:r>
        <m:r>
          <m:t>s</m:t>
        </m:r>
        <m:r>
          <m:t>u</m:t>
        </m:r>
        <m:r>
          <m:t>s</m:t>
        </m:r>
        <m:r>
          <m:t>t</m:t>
        </m:r>
        <m:r>
          <m:t>h</m:t>
        </m:r>
        <m:r>
          <m:t>e</m:t>
        </m:r>
        <m:r>
          <m:t>o</m:t>
        </m:r>
        <m:r>
          <m:t>r</m:t>
        </m:r>
        <m:r>
          <m:t>i</m:t>
        </m:r>
        <m:r>
          <m:t>g</m:t>
        </m:r>
        <m:r>
          <m:t>i</m:t>
        </m:r>
        <m:r>
          <m:t>n</m:t>
        </m:r>
        <m:r>
          <m:t>a</m:t>
        </m:r>
        <m:r>
          <m:t>l</m:t>
        </m:r>
        <m:r>
          <m:t> </m:t>
        </m:r>
      </m:oMath>
      <w:r>
        <w:t xml:space="preserve">574 million ask on the 2025 filing) and a 9.9% ROE (versus 10.75% requested) — a reminder that Michigan outcomes, while workable, have come in below initial asks.</w:t>
      </w:r>
    </w:p>
    <w:p>
      <w:pPr>
        <w:pStyle w:val="Compact"/>
        <w:numPr>
          <w:ilvl w:val="0"/>
          <w:numId w:val="1003"/>
        </w:numPr>
      </w:pPr>
      <w:r>
        <w:rPr>
          <w:b/>
          <w:bCs/>
        </w:rPr>
        <w:t xml:space="preserve">Gas rate case (filed Nov 2025):</w:t>
      </w:r>
      <w:r>
        <w:t xml:space="preserve"> </w:t>
      </w:r>
      <w:r>
        <w:t xml:space="preserve">Seeking a net $163 million increase and ROE of 10.25% (from 9.8%); order expected September 2026.</w:t>
      </w:r>
    </w:p>
    <w:p>
      <w:pPr>
        <w:pStyle w:val="Compact"/>
        <w:numPr>
          <w:ilvl w:val="0"/>
          <w:numId w:val="1003"/>
        </w:numPr>
      </w:pPr>
      <w:r>
        <w:rPr>
          <w:b/>
          <w:bCs/>
        </w:rPr>
        <w:t xml:space="preserve">Depreciation case (filed Dec 2025):</w:t>
      </w:r>
      <w:r>
        <w:t xml:space="preserve"> </w:t>
      </w:r>
      <w:r>
        <w:t xml:space="preserve">Seeking a $147 million increase in depreciation rates.</w:t>
      </w:r>
    </w:p>
    <w:p>
      <w:pPr>
        <w:pStyle w:val="Compact"/>
        <w:numPr>
          <w:ilvl w:val="0"/>
          <w:numId w:val="1003"/>
        </w:numPr>
      </w:pPr>
      <w:r>
        <w:rPr>
          <w:b/>
          <w:bCs/>
        </w:rPr>
        <w:t xml:space="preserve">IRP:</w:t>
      </w:r>
      <w:r>
        <w:t xml:space="preserve"> </w:t>
      </w:r>
      <w:r>
        <w:t xml:space="preserve">DTE's Integrated Resource Plan — which will lay out the baseload generation build to serve large load growth — is expected to be filed in Q3 2026, a key event for firming up the long-dated capex tied to Google and future hyperscale deals.</w:t>
      </w:r>
    </w:p>
    <w:bookmarkEnd w:id="12"/>
    <w:bookmarkStart w:id="13" w:name="financing-and-balance-sheet"/>
    <w:p>
      <w:pPr>
        <w:pStyle w:val="Heading2"/>
      </w:pPr>
      <w:r>
        <w:t xml:space="preserve">Financing and Balance Sheet</w:t>
      </w:r>
    </w:p>
    <w:p>
      <w:pPr>
        <w:pStyle w:val="FirstParagraph"/>
      </w:pPr>
      <w:r>
        <w:t xml:space="preserve">DTE continues to target **</w:t>
      </w:r>
      <m:oMath>
        <m:r>
          <m:t>500</m:t>
        </m:r>
        <m:r>
          <m:rPr>
            <m:sty m:val="p"/>
          </m:rPr>
          <m:t>−</m:t>
        </m:r>
        <m:r>
          <m:t>600</m:t>
        </m:r>
        <m:r>
          <m:t>m</m:t>
        </m:r>
        <m:r>
          <m:t>i</m:t>
        </m:r>
        <m:r>
          <m:t>l</m:t>
        </m:r>
        <m:r>
          <m:t>l</m:t>
        </m:r>
        <m:r>
          <m:t>i</m:t>
        </m:r>
        <m:r>
          <m:t>o</m:t>
        </m:r>
        <m:r>
          <m:t>n</m:t>
        </m:r>
        <m:r>
          <m:t>o</m:t>
        </m:r>
        <m:r>
          <m:t>f</m:t>
        </m:r>
        <m:r>
          <m:t>a</m:t>
        </m:r>
        <m:r>
          <m:t>n</m:t>
        </m:r>
        <m:r>
          <m:t>n</m:t>
        </m:r>
        <m:r>
          <m:t>u</m:t>
        </m:r>
        <m:r>
          <m:t>a</m:t>
        </m:r>
        <m:r>
          <m:t>l</m:t>
        </m:r>
        <m:r>
          <m:t>e</m:t>
        </m:r>
        <m:r>
          <m:t>q</m:t>
        </m:r>
        <m:r>
          <m:t>u</m:t>
        </m:r>
        <m:r>
          <m:t>i</m:t>
        </m:r>
        <m:r>
          <m:t>t</m:t>
        </m:r>
        <m:r>
          <m:t>y</m:t>
        </m:r>
        <m:r>
          <m:t>i</m:t>
        </m:r>
        <m:r>
          <m:t>s</m:t>
        </m:r>
        <m:r>
          <m:t>s</m:t>
        </m:r>
        <m:r>
          <m:t>u</m:t>
        </m:r>
        <m:r>
          <m:t>a</m:t>
        </m:r>
        <m:r>
          <m:t>n</m:t>
        </m:r>
        <m:r>
          <m:t>c</m:t>
        </m:r>
        <m:r>
          <m:t>e</m:t>
        </m:r>
        <m:r>
          <m:t>f</m:t>
        </m:r>
        <m:r>
          <m:t>r</m:t>
        </m:r>
        <m:r>
          <m:t>o</m:t>
        </m:r>
        <m:r>
          <m:t>m</m:t>
        </m:r>
        <m:r>
          <m:t>2026</m:t>
        </m:r>
        <m:r>
          <m:rPr>
            <m:sty m:val="p"/>
          </m:rPr>
          <m:t>−</m:t>
        </m:r>
        <m:r>
          <m:t>2028</m:t>
        </m:r>
        <m:r>
          <m:rPr>
            <m:sty m:val="p"/>
          </m:rPr>
          <m:t>*</m:t>
        </m:r>
        <m:r>
          <m:rPr>
            <m:sty m:val="p"/>
          </m:rPr>
          <m:t>*</m:t>
        </m:r>
        <m:r>
          <m:rPr>
            <m:sty m:val="p"/>
          </m:rPr>
          <m:t>(</m:t>
        </m:r>
        <m:r>
          <m:t>s</m:t>
        </m:r>
        <m:r>
          <m:t>i</m:t>
        </m:r>
        <m:r>
          <m:t>m</m:t>
        </m:r>
        <m:r>
          <m:t>i</m:t>
        </m:r>
        <m:r>
          <m:t>l</m:t>
        </m:r>
        <m:r>
          <m:t>a</m:t>
        </m:r>
        <m:r>
          <m:t>r</m:t>
        </m:r>
        <m:r>
          <m:t>l</m:t>
        </m:r>
        <m:r>
          <m:t>e</m:t>
        </m:r>
        <m:r>
          <m:t>v</m:t>
        </m:r>
        <m:r>
          <m:t>e</m:t>
        </m:r>
        <m:r>
          <m:t>l</m:t>
        </m:r>
        <m:r>
          <m:t>s</m:t>
        </m:r>
        <m:r>
          <m:t>t</m:t>
        </m:r>
        <m:r>
          <m:t>h</m:t>
        </m:r>
        <m:r>
          <m:t>r</m:t>
        </m:r>
        <m:r>
          <m:t>o</m:t>
        </m:r>
        <m:r>
          <m:t>u</m:t>
        </m:r>
        <m:r>
          <m:t>g</m:t>
        </m:r>
        <m:r>
          <m:t>h</m:t>
        </m:r>
        <m:r>
          <m:t>2030</m:t>
        </m:r>
        <m:r>
          <m:rPr>
            <m:sty m:val="p"/>
          </m:rPr>
          <m:t>)</m:t>
        </m:r>
        <m:r>
          <m:rPr>
            <m:sty m:val="p"/>
          </m:rPr>
          <m:t>,</m:t>
        </m:r>
        <m:r>
          <m:t>p</m:t>
        </m:r>
        <m:r>
          <m:t>r</m:t>
        </m:r>
        <m:r>
          <m:t>i</m:t>
        </m:r>
        <m:r>
          <m:t>m</m:t>
        </m:r>
        <m:r>
          <m:t>a</m:t>
        </m:r>
        <m:r>
          <m:t>r</m:t>
        </m:r>
        <m:r>
          <m:t>i</m:t>
        </m:r>
        <m:r>
          <m:t>l</m:t>
        </m:r>
        <m:r>
          <m:t>y</m:t>
        </m:r>
        <m:r>
          <m:t>v</m:t>
        </m:r>
        <m:r>
          <m:t>i</m:t>
        </m:r>
        <m:r>
          <m:t>a</m:t>
        </m:r>
        <m:r>
          <m:t>a</m:t>
        </m:r>
        <m:r>
          <m:t>n</m:t>
        </m:r>
        <m:r>
          <m:t>a</m:t>
        </m:r>
        <m:r>
          <m:t>t</m:t>
        </m:r>
        <m:r>
          <m:rPr>
            <m:sty m:val="p"/>
          </m:rPr>
          <m:t>−</m:t>
        </m:r>
        <m:r>
          <m:t>t</m:t>
        </m:r>
        <m:r>
          <m:t>h</m:t>
        </m:r>
        <m:r>
          <m:t>e</m:t>
        </m:r>
        <m:r>
          <m:rPr>
            <m:sty m:val="p"/>
          </m:rPr>
          <m:t>−</m:t>
        </m:r>
        <m:r>
          <m:t>m</m:t>
        </m:r>
        <m:r>
          <m:t>a</m:t>
        </m:r>
        <m:r>
          <m:t>r</m:t>
        </m:r>
        <m:r>
          <m:t>k</m:t>
        </m:r>
        <m:r>
          <m:t>e</m:t>
        </m:r>
        <m:r>
          <m:t>t</m:t>
        </m:r>
        <m:r>
          <m:t>p</m:t>
        </m:r>
        <m:r>
          <m:t>r</m:t>
        </m:r>
        <m:r>
          <m:t>o</m:t>
        </m:r>
        <m:r>
          <m:t>g</m:t>
        </m:r>
        <m:r>
          <m:t>r</m:t>
        </m:r>
        <m:r>
          <m:t>a</m:t>
        </m:r>
        <m:r>
          <m:t>m</m:t>
        </m:r>
        <m:r>
          <m:t>i</m:t>
        </m:r>
        <m:r>
          <m:t>n</m:t>
        </m:r>
        <m:r>
          <m:t>c</m:t>
        </m:r>
        <m:r>
          <m:t>l</m:t>
        </m:r>
        <m:r>
          <m:t>u</m:t>
        </m:r>
        <m:r>
          <m:t>d</m:t>
        </m:r>
        <m:r>
          <m:t>i</m:t>
        </m:r>
        <m:r>
          <m:t>n</m:t>
        </m:r>
        <m:r>
          <m:t>g</m:t>
        </m:r>
        <m:r>
          <m:t>f</m:t>
        </m:r>
        <m:r>
          <m:t>o</m:t>
        </m:r>
        <m:r>
          <m:t>r</m:t>
        </m:r>
        <m:r>
          <m:t>w</m:t>
        </m:r>
        <m:r>
          <m:t>a</m:t>
        </m:r>
        <m:r>
          <m:t>r</m:t>
        </m:r>
        <m:r>
          <m:t>d</m:t>
        </m:r>
        <m:r>
          <m:t>s</m:t>
        </m:r>
        <m:r>
          <m:t>a</m:t>
        </m:r>
        <m:r>
          <m:t>l</m:t>
        </m:r>
        <m:r>
          <m:t>e</m:t>
        </m:r>
        <m:r>
          <m:t>s</m:t>
        </m:r>
        <m:r>
          <m:rPr>
            <m:sty m:val="p"/>
          </m:rPr>
          <m:t>;</m:t>
        </m:r>
        <m:r>
          <m:t>r</m:t>
        </m:r>
        <m:r>
          <m:t>o</m:t>
        </m:r>
        <m:r>
          <m:t>u</m:t>
        </m:r>
        <m:r>
          <m:t>g</m:t>
        </m:r>
        <m:r>
          <m:t>h</m:t>
        </m:r>
        <m:r>
          <m:t>l</m:t>
        </m:r>
        <m:r>
          <m:t>y</m:t>
        </m:r>
        <m:r>
          <m:t>t</m:t>
        </m:r>
        <m:r>
          <m:t>w</m:t>
        </m:r>
        <m:r>
          <m:t>o</m:t>
        </m:r>
        <m:r>
          <m:rPr>
            <m:sty m:val="p"/>
          </m:rPr>
          <m:t>−</m:t>
        </m:r>
        <m:r>
          <m:t>t</m:t>
        </m:r>
        <m:r>
          <m:t>h</m:t>
        </m:r>
        <m:r>
          <m:t>i</m:t>
        </m:r>
        <m:r>
          <m:t>r</m:t>
        </m:r>
        <m:r>
          <m:t>d</m:t>
        </m:r>
        <m:r>
          <m:t>s</m:t>
        </m:r>
        <m:r>
          <m:t>o</m:t>
        </m:r>
        <m:r>
          <m:t>f</m:t>
        </m:r>
        <m:r>
          <m:t>t</m:t>
        </m:r>
        <m:r>
          <m:t>h</m:t>
        </m:r>
        <m:r>
          <m:t>e</m:t>
        </m:r>
        <m:r>
          <m:t>2026</m:t>
        </m:r>
        <m:r>
          <m:t>t</m:t>
        </m:r>
        <m:r>
          <m:t>a</m:t>
        </m:r>
        <m:r>
          <m:t>r</m:t>
        </m:r>
        <m:r>
          <m:t>g</m:t>
        </m:r>
        <m:r>
          <m:t>e</m:t>
        </m:r>
        <m:r>
          <m:t>t</m:t>
        </m:r>
        <m:r>
          <m:t>h</m:t>
        </m:r>
        <m:r>
          <m:t>a</m:t>
        </m:r>
        <m:r>
          <m:t>d</m:t>
        </m:r>
        <m:r>
          <m:t>a</m:t>
        </m:r>
        <m:r>
          <m:t>l</m:t>
        </m:r>
        <m:r>
          <m:t>r</m:t>
        </m:r>
        <m:r>
          <m:t>e</m:t>
        </m:r>
        <m:r>
          <m:t>a</m:t>
        </m:r>
        <m:r>
          <m:t>d</m:t>
        </m:r>
        <m:r>
          <m:t>y</m:t>
        </m:r>
        <m:r>
          <m:t>b</m:t>
        </m:r>
        <m:r>
          <m:t>e</m:t>
        </m:r>
        <m:r>
          <m:t>e</m:t>
        </m:r>
        <m:r>
          <m:t>n</m:t>
        </m:r>
        <m:r>
          <m:t>p</m:t>
        </m:r>
        <m:r>
          <m:t>r</m:t>
        </m:r>
        <m:r>
          <m:t>i</m:t>
        </m:r>
        <m:r>
          <m:t>c</m:t>
        </m:r>
        <m:r>
          <m:t>e</m:t>
        </m:r>
        <m:r>
          <m:t>d</m:t>
        </m:r>
        <m:r>
          <m:t>v</m:t>
        </m:r>
        <m:r>
          <m:t>i</m:t>
        </m:r>
        <m:r>
          <m:t>a</m:t>
        </m:r>
        <m:r>
          <m:t>f</m:t>
        </m:r>
        <m:r>
          <m:t>o</m:t>
        </m:r>
        <m:r>
          <m:t>r</m:t>
        </m:r>
        <m:r>
          <m:t>w</m:t>
        </m:r>
        <m:r>
          <m:t>a</m:t>
        </m:r>
        <m:r>
          <m:t>r</m:t>
        </m:r>
        <m:r>
          <m:t>d</m:t>
        </m:r>
        <m:r>
          <m:t>s</m:t>
        </m:r>
        <m:r>
          <m:t>a</m:t>
        </m:r>
        <m:r>
          <m:t>s</m:t>
        </m:r>
        <m:r>
          <m:t>o</m:t>
        </m:r>
        <m:r>
          <m:t>f</m:t>
        </m:r>
        <m:r>
          <m:t>Q</m:t>
        </m:r>
        <m:r>
          <m:t>1</m:t>
        </m:r>
        <m:r>
          <m:rPr>
            <m:sty m:val="p"/>
          </m:rPr>
          <m:t>.</m:t>
        </m:r>
        <m:r>
          <m:t>T</m:t>
        </m:r>
        <m:r>
          <m:t>h</m:t>
        </m:r>
        <m:r>
          <m:t>e</m:t>
        </m:r>
        <m:r>
          <m:t>c</m:t>
        </m:r>
        <m:r>
          <m:t>o</m:t>
        </m:r>
        <m:r>
          <m:t>m</m:t>
        </m:r>
        <m:r>
          <m:t>p</m:t>
        </m:r>
        <m:r>
          <m:t>a</m:t>
        </m:r>
        <m:r>
          <m:t>n</m:t>
        </m:r>
        <m:r>
          <m:t>y</m:t>
        </m:r>
        <m:r>
          <m:t>i</m:t>
        </m:r>
        <m:r>
          <m:t>s</m:t>
        </m:r>
        <m:r>
          <m:t>t</m:t>
        </m:r>
        <m:r>
          <m:t>a</m:t>
        </m:r>
        <m:r>
          <m:t>r</m:t>
        </m:r>
        <m:r>
          <m:t>g</m:t>
        </m:r>
        <m:r>
          <m:t>e</m:t>
        </m:r>
        <m:r>
          <m:t>t</m:t>
        </m:r>
        <m:r>
          <m:t>i</m:t>
        </m:r>
        <m:r>
          <m:t>n</m:t>
        </m:r>
        <m:r>
          <m:t>g</m:t>
        </m:r>
        <m:r>
          <m:t>a</m:t>
        </m:r>
        <m:r>
          <m:t>n</m:t>
        </m:r>
        <m:r>
          <m:t>F</m:t>
        </m:r>
        <m:r>
          <m:t>F</m:t>
        </m:r>
        <m:r>
          <m:t>O</m:t>
        </m:r>
        <m:r>
          <m:rPr>
            <m:sty m:val="p"/>
          </m:rPr>
          <m:t>−</m:t>
        </m:r>
        <m:r>
          <m:t>t</m:t>
        </m:r>
        <m:r>
          <m:t>o</m:t>
        </m:r>
        <m:r>
          <m:rPr>
            <m:sty m:val="p"/>
          </m:rPr>
          <m:t>−</m:t>
        </m:r>
        <m:r>
          <m:t>d</m:t>
        </m:r>
        <m:r>
          <m:t>e</m:t>
        </m:r>
        <m:r>
          <m:t>b</m:t>
        </m:r>
        <m:r>
          <m:t>t</m:t>
        </m:r>
        <m:r>
          <m:t>r</m:t>
        </m:r>
        <m:r>
          <m:t>a</m:t>
        </m:r>
        <m:r>
          <m:t>t</m:t>
        </m:r>
        <m:r>
          <m:t>i</m:t>
        </m:r>
        <m:r>
          <m:t>o</m:t>
        </m:r>
        <m:r>
          <m:t>o</m:t>
        </m:r>
        <m:r>
          <m:t>f</m:t>
        </m:r>
        <m:r>
          <m:t>a</m:t>
        </m:r>
        <m:r>
          <m:t>p</m:t>
        </m:r>
        <m:r>
          <m:t>p</m:t>
        </m:r>
        <m:r>
          <m:t>r</m:t>
        </m:r>
        <m:r>
          <m:t>o</m:t>
        </m:r>
        <m:r>
          <m:t>x</m:t>
        </m:r>
        <m:r>
          <m:t>i</m:t>
        </m:r>
        <m:r>
          <m:t>m</m:t>
        </m:r>
        <m:r>
          <m:t>a</m:t>
        </m:r>
        <m:r>
          <m:t>t</m:t>
        </m:r>
        <m:r>
          <m:t>e</m:t>
        </m:r>
        <m:r>
          <m:t>l</m:t>
        </m:r>
        <m:r>
          <m:t>y</m:t>
        </m:r>
        <m:r>
          <m:t>15</m:t>
        </m:r>
      </m:oMath>
      <w:r>
        <w:t xml:space="preserve">5 billion Google-related buildout) is expected to be funded with a mix including ~40% equity, plus converts/hybrids — a modest incremental equity needs question investors may probe further given the growing capital plan.</w:t>
      </w:r>
    </w:p>
    <w:bookmarkEnd w:id="13"/>
    <w:bookmarkStart w:id="14" w:name="litigationone-off-items-to-track"/>
    <w:p>
      <w:pPr>
        <w:pStyle w:val="Heading2"/>
      </w:pPr>
      <w:r>
        <w:t xml:space="preserve">Litigation/One-off Items to Track</w:t>
      </w:r>
    </w:p>
    <w:p>
      <w:pPr>
        <w:pStyle w:val="Compact"/>
        <w:numPr>
          <w:ilvl w:val="0"/>
          <w:numId w:val="1004"/>
        </w:numPr>
      </w:pPr>
      <w:r>
        <w:rPr>
          <w:b/>
          <w:bCs/>
        </w:rPr>
        <w:t xml:space="preserve">EES Coke Battery (Clean Air Act):</w:t>
      </w:r>
      <w:r>
        <w:t xml:space="preserve"> </w:t>
      </w:r>
      <w:r>
        <w:t xml:space="preserve">In February 2026, a federal court imposed a $100 million civil penalty plus a $20 million community air-quality fund requirement on DTE and subsidiaries; DTE accrued $112 million in Q1 2026 (bringing the total accrual to $120 million), which weighed on DTE Vantage's GAAP results but was excluded from operating earnings. The company is appealing — any developments here bear watching, though further financial impact is not yet quantified.</w:t>
      </w:r>
    </w:p>
    <w:p>
      <w:pPr>
        <w:pStyle w:val="Compact"/>
        <w:numPr>
          <w:ilvl w:val="0"/>
          <w:numId w:val="1004"/>
        </w:numPr>
      </w:pPr>
      <w:r>
        <w:rPr>
          <w:b/>
          <w:bCs/>
        </w:rPr>
        <w:t xml:space="preserve">Ludington pumped storage dispute (Toshiba/TAES):</w:t>
      </w:r>
      <w:r>
        <w:t xml:space="preserve"> </w:t>
      </w:r>
      <w:r>
        <w:t xml:space="preserve">A December 2025 jury verdict favored DTE Electric and Consumers Energy on breach-of-warranty/contract claims tied to the Ludington overhaul; DTE's share of repair/replacement costs is estimated at $350-400 million, to be offset by any litigation proceeds. Post-judgment motions are pending.</w:t>
      </w:r>
    </w:p>
    <w:bookmarkEnd w:id="14"/>
    <w:bookmarkStart w:id="15" w:name="segment-watch-items-for-q2"/>
    <w:p>
      <w:pPr>
        <w:pStyle w:val="Heading2"/>
      </w:pPr>
      <w:r>
        <w:t xml:space="preserve">Segment Watch Items for Q2</w:t>
      </w:r>
    </w:p>
    <w:p>
      <w:pPr>
        <w:pStyle w:val="Compact"/>
        <w:numPr>
          <w:ilvl w:val="0"/>
          <w:numId w:val="1005"/>
        </w:numPr>
      </w:pPr>
      <w:r>
        <w:rPr>
          <w:b/>
          <w:bCs/>
        </w:rPr>
        <w:t xml:space="preserve">Energy Trading:</w:t>
      </w:r>
      <w:r>
        <w:t xml:space="preserve"> </w:t>
      </w:r>
      <w:r>
        <w:t xml:space="preserve">The key swing factor for the print — does the Q1 timing shortfall reverse as promised, supporting confidence in a high-end full-year outcome?</w:t>
      </w:r>
    </w:p>
    <w:p>
      <w:pPr>
        <w:pStyle w:val="Compact"/>
        <w:numPr>
          <w:ilvl w:val="0"/>
          <w:numId w:val="1005"/>
        </w:numPr>
      </w:pPr>
      <w:r>
        <w:rPr>
          <w:b/>
          <w:bCs/>
        </w:rPr>
        <w:t xml:space="preserve">DTE Electric:</w:t>
      </w:r>
      <w:r>
        <w:t xml:space="preserve"> </w:t>
      </w:r>
      <w:r>
        <w:t xml:space="preserve">New rate implementation (Feb 2026 order) should be a modest positive; watch for commentary on storm costs/weather versus normal.</w:t>
      </w:r>
    </w:p>
    <w:p>
      <w:pPr>
        <w:pStyle w:val="Compact"/>
        <w:numPr>
          <w:ilvl w:val="0"/>
          <w:numId w:val="1005"/>
        </w:numPr>
      </w:pPr>
      <w:r>
        <w:rPr>
          <w:b/>
          <w:bCs/>
        </w:rPr>
        <w:t xml:space="preserve">DTE Vantage:</w:t>
      </w:r>
      <w:r>
        <w:t xml:space="preserve"> </w:t>
      </w:r>
      <w:r>
        <w:t xml:space="preserve">Should look cleaner sequentially absent the EES Coke charge; renewables/RNG tax credit progress (guided at $50-60 million for the year, called "conservative") is a modest upside lever.</w:t>
      </w:r>
    </w:p>
    <w:p>
      <w:pPr>
        <w:pStyle w:val="Compact"/>
        <w:numPr>
          <w:ilvl w:val="0"/>
          <w:numId w:val="1005"/>
        </w:numPr>
      </w:pPr>
      <w:r>
        <w:rPr>
          <w:b/>
          <w:bCs/>
        </w:rPr>
        <w:t xml:space="preserve">Corporate &amp; Other:</w:t>
      </w:r>
      <w:r>
        <w:t xml:space="preserve"> </w:t>
      </w:r>
      <w:r>
        <w:t xml:space="preserve">Higher interest expense from the growing capital plan and equity issuance timing will remain a drag to monitor.</w:t>
      </w:r>
    </w:p>
    <w:bookmarkEnd w:id="15"/>
    <w:bookmarkStart w:id="16" w:name="analystsentiment-backdrop"/>
    <w:p>
      <w:pPr>
        <w:pStyle w:val="Heading2"/>
      </w:pPr>
      <w:r>
        <w:t xml:space="preserve">Analyst/Sentiment Backdrop</w:t>
      </w:r>
    </w:p>
    <w:p>
      <w:pPr>
        <w:pStyle w:val="FirstParagraph"/>
      </w:pPr>
      <w:r>
        <w:t xml:space="preserve">Sell-side sentiment is mixed-to-neutral into the print: BMO Capital recently trimmed its price target to $152 (Market Perform), and TD Cowen holds a Hold rating, while the broader analyst consensus is described as "Buy" with a mean price target near $161.70, implying meaningful upside from current levels around $147-149. The wide dispersion in Q2 EPS estimates (roughly $1.13 to $1.57 depending on source) underscores how much modeling uncertainty exists around Energy Trading timing and one-off items this quarter — meaning the market's reaction may hinge more on management's tone regarding full-year guidance, the Google approval timeline, and the next data-center deal than on the quarter's raw EPS beat/miss.</w:t>
      </w:r>
    </w:p>
    <w:bookmarkEnd w:id="16"/>
    <w:bookmarkStart w:id="17" w:name="bottom-line--what-would-move-the-stock"/>
    <w:p>
      <w:pPr>
        <w:pStyle w:val="Heading2"/>
      </w:pPr>
      <w:r>
        <w:t xml:space="preserve">Bottom Line — What Would Move the Stock</w:t>
      </w:r>
    </w:p>
    <w:p>
      <w:pPr>
        <w:pStyle w:val="Compact"/>
        <w:numPr>
          <w:ilvl w:val="0"/>
          <w:numId w:val="1006"/>
        </w:numPr>
      </w:pPr>
      <w:r>
        <w:rPr>
          <w:b/>
          <w:bCs/>
        </w:rPr>
        <w:t xml:space="preserve">Reaffirmation (or raise) of full-year 2026 guidance (</w:t>
      </w:r>
      <m:oMath>
        <m:r>
          <m:t>7.59</m:t>
        </m:r>
        <m:r>
          <m:rPr>
            <m:sty m:val="p"/>
          </m:rPr>
          <m:t>−</m:t>
        </m:r>
      </m:oMath>
      <w:r>
        <w:rPr>
          <w:b/>
          <w:bCs/>
        </w:rPr>
        <w:t xml:space="preserve">7.73)</w:t>
      </w:r>
      <w:r>
        <w:t xml:space="preserve"> </w:t>
      </w:r>
      <w:r>
        <w:t xml:space="preserve">and continued high-end confidence.</w:t>
      </w:r>
    </w:p>
    <w:p>
      <w:pPr>
        <w:pStyle w:val="Compact"/>
        <w:numPr>
          <w:ilvl w:val="0"/>
          <w:numId w:val="1006"/>
        </w:numPr>
      </w:pPr>
      <w:r>
        <w:rPr>
          <w:b/>
          <w:bCs/>
        </w:rPr>
        <w:t xml:space="preserve">Any incremental news on the ~2 GW of "late-stage" hyperscale negotiations</w:t>
      </w:r>
      <w:r>
        <w:t xml:space="preserve"> </w:t>
      </w:r>
      <w:r>
        <w:t xml:space="preserve">or confirmation of Google MPSC approval timing (targeted September 2026).</w:t>
      </w:r>
    </w:p>
    <w:p>
      <w:pPr>
        <w:pStyle w:val="Compact"/>
        <w:numPr>
          <w:ilvl w:val="0"/>
          <w:numId w:val="1006"/>
        </w:numPr>
      </w:pPr>
      <w:r>
        <w:rPr>
          <w:b/>
          <w:bCs/>
        </w:rPr>
        <w:t xml:space="preserve">Energy Trading reversal</w:t>
      </w:r>
      <w:r>
        <w:t xml:space="preserve"> </w:t>
      </w:r>
      <w:r>
        <w:t xml:space="preserve">playing out as promised.</w:t>
      </w:r>
    </w:p>
    <w:p>
      <w:pPr>
        <w:pStyle w:val="Compact"/>
        <w:numPr>
          <w:ilvl w:val="0"/>
          <w:numId w:val="1006"/>
        </w:numPr>
      </w:pPr>
      <w:r>
        <w:rPr>
          <w:b/>
          <w:bCs/>
        </w:rPr>
        <w:t xml:space="preserve">Regulatory tone</w:t>
      </w:r>
      <w:r>
        <w:t xml:space="preserve"> </w:t>
      </w:r>
      <w:r>
        <w:t xml:space="preserve">on the newly filed $474 million electric rate case and the proposed excess-margin mechanism, which underpins the "stay-out" thesis that is central to the affordability/data-center narrative.</w:t>
      </w:r>
    </w:p>
    <w:p>
      <w:pPr>
        <w:pStyle w:val="Compact"/>
        <w:numPr>
          <w:ilvl w:val="0"/>
          <w:numId w:val="1006"/>
        </w:numPr>
      </w:pPr>
      <w:r>
        <w:rPr>
          <w:b/>
          <w:bCs/>
        </w:rPr>
        <w:t xml:space="preserve">Equity issuance pace</w:t>
      </w:r>
      <w:r>
        <w:t xml:space="preserve"> </w:t>
      </w:r>
      <w:r>
        <w:t xml:space="preserve">and any update on financing the growing (~$5 billion incremental) capital plan.</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2026-07-28T00:29:59Z</dcterms:created>
  <dcterms:modified xsi:type="dcterms:W3CDTF">2026-07-28T00:29:59Z</dcterms:modified>
</cp:coreProperties>
</file>

<file path=docProps/custom.xml><?xml version="1.0" encoding="utf-8"?>
<Properties xmlns="http://schemas.openxmlformats.org/officeDocument/2006/custom-properties" xmlns:vt="http://schemas.openxmlformats.org/officeDocument/2006/docPropsVTypes"/>
</file>