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dte-energy-2026-q2-earnings-preview"/>
    <w:p>
      <w:pPr>
        <w:pStyle w:val="Heading1"/>
      </w:pPr>
      <w:r>
        <w:t xml:space="preserve">DTE Energy 2026 Q2 Earnings Preview</w:t>
      </w:r>
    </w:p>
    <w:p>
      <w:pPr>
        <w:pStyle w:val="BlockText"/>
      </w:pPr>
      <w:r>
        <w:rPr>
          <w:b/>
          <w:bCs/>
        </w:rPr>
        <w:t xml:space="preserve">Timing note:</w:t>
      </w:r>
      <w:r>
        <w:t xml:space="preserve"> </w:t>
      </w:r>
      <w:r>
        <w:t xml:space="preserve">DTE’s July 14 announcement scheduled the earnings release for</w:t>
      </w:r>
      <w:r>
        <w:t xml:space="preserve"> </w:t>
      </w:r>
      <w:r>
        <w:rPr>
          <w:b/>
          <w:bCs/>
        </w:rPr>
        <w:t xml:space="preserve">before the market opens today, Tuesday, July 28, 2026</w:t>
      </w:r>
      <w:r>
        <w:t xml:space="preserve">, with the call at</w:t>
      </w:r>
      <w:r>
        <w:t xml:space="preserve"> </w:t>
      </w:r>
      <w:r>
        <w:rPr>
          <w:b/>
          <w:bCs/>
        </w:rPr>
        <w:t xml:space="preserve">9:00 a.m. ET</w:t>
      </w:r>
      <w:r>
        <w:t xml:space="preserve">. Thus, the July 28 event is today rather than tomorrow.</w:t>
      </w:r>
    </w:p>
    <w:bookmarkStart w:id="9" w:name="investment-view-going-into-the-report"/>
    <w:p>
      <w:pPr>
        <w:pStyle w:val="Heading2"/>
      </w:pPr>
      <w:r>
        <w:t xml:space="preserve">Investment view going into the report</w:t>
      </w:r>
    </w:p>
    <w:p>
      <w:pPr>
        <w:pStyle w:val="FirstParagraph"/>
      </w:pPr>
      <w:r>
        <w:t xml:space="preserve">The quarter’s EPS will matter, but the larger stock-moving issues are likely to be:</w:t>
      </w:r>
    </w:p>
    <w:p>
      <w:pPr>
        <w:pStyle w:val="Compact"/>
        <w:numPr>
          <w:ilvl w:val="0"/>
          <w:numId w:val="1001"/>
        </w:numPr>
      </w:pPr>
      <w:r>
        <w:rPr>
          <w:b/>
          <w:bCs/>
        </w:rPr>
        <w:t xml:space="preserve">Whether DTE maintains or strengthens its expectation of reaching the high end of 2026 guidance.</w:t>
      </w:r>
    </w:p>
    <w:p>
      <w:pPr>
        <w:pStyle w:val="Compact"/>
        <w:numPr>
          <w:ilvl w:val="0"/>
          <w:numId w:val="1001"/>
        </w:numPr>
      </w:pPr>
      <w:r>
        <w:rPr>
          <w:b/>
          <w:bCs/>
        </w:rPr>
        <w:t xml:space="preserve">Progress toward regulatory approval of the 1 GW Google data-center agreement.</w:t>
      </w:r>
    </w:p>
    <w:p>
      <w:pPr>
        <w:pStyle w:val="Compact"/>
        <w:numPr>
          <w:ilvl w:val="0"/>
          <w:numId w:val="1001"/>
        </w:numPr>
      </w:pPr>
      <w:r>
        <w:rPr>
          <w:b/>
          <w:bCs/>
        </w:rPr>
        <w:t xml:space="preserve">Any advancement of another roughly 2 GW of hyperscaler projects under late-stage negotiation.</w:t>
      </w:r>
    </w:p>
    <w:p>
      <w:pPr>
        <w:pStyle w:val="Compact"/>
        <w:numPr>
          <w:ilvl w:val="0"/>
          <w:numId w:val="1001"/>
        </w:numPr>
      </w:pPr>
      <w:r>
        <w:rPr>
          <w:b/>
          <w:bCs/>
        </w:rPr>
        <w:t xml:space="preserve">The timing, cost and financing of data-center-related generation and storage investment.</w:t>
      </w:r>
    </w:p>
    <w:p>
      <w:pPr>
        <w:pStyle w:val="Compact"/>
        <w:numPr>
          <w:ilvl w:val="0"/>
          <w:numId w:val="1001"/>
        </w:numPr>
      </w:pPr>
      <w:r>
        <w:rPr>
          <w:b/>
          <w:bCs/>
        </w:rPr>
        <w:t xml:space="preserve">Evidence that first-quarter weakness in Energy Trading was genuinely timing-related and is reversing.</w:t>
      </w:r>
    </w:p>
    <w:p>
      <w:pPr>
        <w:pStyle w:val="FirstParagraph"/>
      </w:pPr>
      <w:r>
        <w:t xml:space="preserve">DTE enters the report with unusually strong long-term load-growth visibility for a regulated utility. However, that opportunity also creates regulatory, execution and financing questions. The ideal report would pair solid underlying earnings with increased confidence in data-center approvals—without another material increase in equity needs.</w:t>
      </w:r>
    </w:p>
    <w:p>
      <w:r>
        <w:pict>
          <v:rect style="width:0;height:1.5pt" o:hralign="center" o:hrstd="t" o:hr="t"/>
        </w:pict>
      </w:r>
    </w:p>
    <w:bookmarkEnd w:id="9"/>
    <w:bookmarkStart w:id="11" w:name="the-financial-baseline"/>
    <w:p>
      <w:pPr>
        <w:pStyle w:val="Heading2"/>
      </w:pPr>
      <w:r>
        <w:t xml:space="preserve">The financial baseline</w:t>
      </w:r>
    </w:p>
    <w:p>
      <w:pPr>
        <w:pStyle w:val="FirstParagraph"/>
      </w:pPr>
      <w:r>
        <w:t xml:space="preserve">DTE’s current 2026 operating guidance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Operating earnings</w:t>
            </w:r>
          </w:p>
        </w:tc>
      </w:tr>
      <w:tr>
        <w:tc>
          <w:tcPr/>
          <w:p>
            <w:pPr>
              <w:pStyle w:val="Compact"/>
            </w:pPr>
            <w:r>
              <w:t xml:space="preserve">DTE Electric</w:t>
            </w:r>
          </w:p>
        </w:tc>
        <w:tc>
          <w:tcPr/>
          <w:p>
            <w:pPr>
              <w:pStyle w:val="Compact"/>
              <w:jc w:val="right"/>
            </w:pPr>
            <m:oMath>
              <m:r>
                <m:t>1.340</m:t>
              </m:r>
              <m:r>
                <m:t>B</m:t>
              </m:r>
              <m:r>
                <m:rPr>
                  <m:sty m:val="p"/>
                </m:rPr>
                <m:t>–</m:t>
              </m:r>
            </m:oMath>
            <w:r>
              <w:t xml:space="preserve">1.360B</w:t>
            </w:r>
          </w:p>
        </w:tc>
      </w:tr>
      <w:tr>
        <w:tc>
          <w:tcPr/>
          <w:p>
            <w:pPr>
              <w:pStyle w:val="Compact"/>
            </w:pPr>
            <w:r>
              <w:t xml:space="preserve">DTE Gas</w:t>
            </w:r>
          </w:p>
        </w:tc>
        <w:tc>
          <w:tcPr/>
          <w:p>
            <w:pPr>
              <w:pStyle w:val="Compact"/>
              <w:jc w:val="right"/>
            </w:pPr>
            <m:oMath>
              <m:r>
                <m:t>315</m:t>
              </m:r>
              <m:r>
                <m:t>M</m:t>
              </m:r>
              <m:r>
                <m:rPr>
                  <m:sty m:val="p"/>
                </m:rPr>
                <m:t>–</m:t>
              </m:r>
            </m:oMath>
            <w:r>
              <w:t xml:space="preserve">325M</w:t>
            </w:r>
          </w:p>
        </w:tc>
      </w:tr>
      <w:tr>
        <w:tc>
          <w:tcPr/>
          <w:p>
            <w:pPr>
              <w:pStyle w:val="Compact"/>
            </w:pPr>
            <w:r>
              <w:t xml:space="preserve">DTE Vantage</w:t>
            </w:r>
          </w:p>
        </w:tc>
        <w:tc>
          <w:tcPr/>
          <w:p>
            <w:pPr>
              <w:pStyle w:val="Compact"/>
              <w:jc w:val="right"/>
            </w:pPr>
            <m:oMath>
              <m:r>
                <m:t>180</m:t>
              </m:r>
              <m:r>
                <m:t>M</m:t>
              </m:r>
              <m:r>
                <m:rPr>
                  <m:sty m:val="p"/>
                </m:rPr>
                <m:t>–</m:t>
              </m:r>
            </m:oMath>
            <w:r>
              <w:t xml:space="preserve">190M</w:t>
            </w:r>
          </w:p>
        </w:tc>
      </w:tr>
      <w:tr>
        <w:tc>
          <w:tcPr/>
          <w:p>
            <w:pPr>
              <w:pStyle w:val="Compact"/>
            </w:pPr>
            <w:r>
              <w:t xml:space="preserve">Energy Trading</w:t>
            </w:r>
          </w:p>
        </w:tc>
        <w:tc>
          <w:tcPr/>
          <w:p>
            <w:pPr>
              <w:pStyle w:val="Compact"/>
              <w:jc w:val="right"/>
            </w:pPr>
            <m:oMath>
              <m:r>
                <m:t>50</m:t>
              </m:r>
              <m:r>
                <m:t>M</m:t>
              </m:r>
              <m:r>
                <m:rPr>
                  <m:sty m:val="p"/>
                </m:rPr>
                <m:t>–</m:t>
              </m:r>
            </m:oMath>
            <w:r>
              <w:t xml:space="preserve">60M</w:t>
            </w:r>
          </w:p>
        </w:tc>
      </w:tr>
      <w:tr>
        <w:tc>
          <w:tcPr/>
          <w:p>
            <w:pPr>
              <w:pStyle w:val="Compact"/>
            </w:pPr>
            <w:r>
              <w:t xml:space="preserve">Corporate &amp; Other</w:t>
            </w:r>
          </w:p>
        </w:tc>
        <w:tc>
          <w:tcPr/>
          <w:p>
            <w:pPr>
              <w:pStyle w:val="Compact"/>
              <w:jc w:val="right"/>
            </w:pPr>
            <m:oMath>
              <m:r>
                <m:rPr>
                  <m:sty m:val="p"/>
                </m:rPr>
                <m:t>(</m:t>
              </m:r>
              <m:r>
                <m:t>310</m:t>
              </m:r>
              <m:r>
                <m:rPr>
                  <m:sty m:val="p"/>
                </m:rPr>
                <m:t>)</m:t>
              </m:r>
              <m:r>
                <m:t>M</m:t>
              </m:r>
              <m:r>
                <m:rPr>
                  <m:sty m:val="p"/>
                </m:rPr>
                <m:t>–</m:t>
              </m:r>
            </m:oMath>
            <w:r>
              <w:t xml:space="preserve">(300)M</w:t>
            </w:r>
          </w:p>
        </w:tc>
      </w:tr>
      <w:tr>
        <w:tc>
          <w:tcPr/>
          <w:p>
            <w:pPr>
              <w:pStyle w:val="Compact"/>
            </w:pPr>
            <w:r>
              <w:rPr>
                <w:b/>
                <w:bCs/>
              </w:rPr>
              <w:t xml:space="preserve">Total operating earnings</w:t>
            </w:r>
          </w:p>
        </w:tc>
        <w:tc>
          <w:tcPr/>
          <w:p>
            <w:pPr>
              <w:pStyle w:val="Compact"/>
              <w:jc w:val="right"/>
            </w:pPr>
            <m:oMath>
              <m:r>
                <m:t>1.585</m:t>
              </m:r>
              <m:r>
                <m:t>B</m:t>
              </m:r>
              <m:r>
                <m:rPr>
                  <m:sty m:val="p"/>
                </m:rPr>
                <m:t>–</m:t>
              </m:r>
            </m:oMath>
            <w:r>
              <w:rPr>
                <w:b/>
                <w:bCs/>
              </w:rPr>
              <w:t xml:space="preserve">1.615B</w:t>
            </w:r>
          </w:p>
        </w:tc>
      </w:tr>
      <w:tr>
        <w:tc>
          <w:tcPr/>
          <w:p>
            <w:pPr>
              <w:pStyle w:val="Compact"/>
            </w:pPr>
            <w:r>
              <w:rPr>
                <w:b/>
                <w:bCs/>
              </w:rPr>
              <w:t xml:space="preserve">Operating EPS</w:t>
            </w:r>
          </w:p>
        </w:tc>
        <w:tc>
          <w:tcPr/>
          <w:p>
            <w:pPr>
              <w:pStyle w:val="Compact"/>
              <w:jc w:val="right"/>
            </w:pPr>
            <m:oMath>
              <m:r>
                <m:t>7.59</m:t>
              </m:r>
              <m:r>
                <m:rPr>
                  <m:sty m:val="p"/>
                </m:rPr>
                <m:t>–</m:t>
              </m:r>
            </m:oMath>
            <w:r>
              <w:rPr>
                <w:b/>
                <w:bCs/>
              </w:rPr>
              <w:t xml:space="preserve">7.73</w:t>
            </w:r>
          </w:p>
        </w:tc>
      </w:tr>
    </w:tbl>
    <w:p>
      <w:pPr>
        <w:pStyle w:val="BodyText"/>
      </w:pPr>
      <w:r>
        <w:t xml:space="preserve">Management has repeatedly said DTE is</w:t>
      </w:r>
      <w:r>
        <w:t xml:space="preserve"> </w:t>
      </w:r>
      <w:r>
        <w:rPr>
          <w:b/>
          <w:bCs/>
        </w:rPr>
        <w:t xml:space="preserve">positioned to achieve the high end</w:t>
      </w:r>
      <w:r>
        <w:t xml:space="preserve">, helped by renewable natural gas production tax credits at DTE Vantage.</w:t>
      </w:r>
    </w:p>
    <w:p>
      <w:pPr>
        <w:pStyle w:val="BodyText"/>
      </w:pPr>
      <w:r>
        <w:t xml:space="preserve">First-quarter operating EPS was</w:t>
      </w:r>
      <w:r>
        <w:t xml:space="preserve"> </w:t>
      </w:r>
      <w:r>
        <w:rPr>
          <w:b/>
          <w:bCs/>
        </w:rPr>
        <w:t xml:space="preserve">$1.95</w:t>
      </w:r>
      <w:r>
        <w:t xml:space="preserve">, versus full-year guidance of</w:t>
      </w:r>
      <w:r>
        <w:t xml:space="preserve"> </w:t>
      </w:r>
      <m:oMath>
        <m:r>
          <m:t>7.59</m:t>
        </m:r>
        <m:r>
          <m:rPr>
            <m:sty m:val="p"/>
          </m:rPr>
          <m:t>–</m:t>
        </m:r>
      </m:oMath>
      <w:r>
        <w:t xml:space="preserve">7.73. That was a strong start, although the quarterly segment comparisons included substantial tax timing and trading timing effects.</w:t>
      </w:r>
    </w:p>
    <w:p>
      <w:pPr>
        <w:pStyle w:val="BodyText"/>
      </w:pPr>
      <w:r>
        <w:t xml:space="preserve">For comparison, DTE earned</w:t>
      </w:r>
      <w:r>
        <w:t xml:space="preserve"> </w:t>
      </w:r>
      <w:r>
        <w:rPr>
          <w:b/>
          <w:bCs/>
        </w:rPr>
        <w:t xml:space="preserve">$1.36 of operating EPS in Q2 2025</w:t>
      </w:r>
      <w:r>
        <w:t xml:space="preserve">. The prior-year quarter included a favorable reversal of tax timing at DTE Electric, so a simple year-over-year EPS comparison may not provide a clean reading of underlying performance.</w:t>
      </w:r>
    </w:p>
    <w:bookmarkStart w:id="10" w:name="Xe6b1190b0cd69ff11c499cd99c7fb9fa235fcd1"/>
    <w:p>
      <w:pPr>
        <w:pStyle w:val="Heading3"/>
      </w:pPr>
      <w:r>
        <w:t xml:space="preserve">What would constitute a good financial result?</w:t>
      </w:r>
    </w:p>
    <w:p>
      <w:pPr>
        <w:pStyle w:val="FirstParagraph"/>
      </w:pPr>
      <w:r>
        <w:t xml:space="preserve">Because DTE has not provided quarterly guidance, the most useful benchmarks are:</w:t>
      </w:r>
    </w:p>
    <w:p>
      <w:pPr>
        <w:pStyle w:val="Compact"/>
        <w:numPr>
          <w:ilvl w:val="0"/>
          <w:numId w:val="1002"/>
        </w:numPr>
      </w:pPr>
      <w:r>
        <w:t xml:space="preserve">Operating EPS and utility earnings at least consistent with full-year guidance.</w:t>
      </w:r>
    </w:p>
    <w:p>
      <w:pPr>
        <w:pStyle w:val="Compact"/>
        <w:numPr>
          <w:ilvl w:val="0"/>
          <w:numId w:val="1002"/>
        </w:numPr>
      </w:pPr>
      <w:r>
        <w:t xml:space="preserve">Explicit reiteration that the company expects to reach</w:t>
      </w:r>
      <w:r>
        <w:t xml:space="preserve"> </w:t>
      </w:r>
      <w:r>
        <w:rPr>
          <w:b/>
          <w:bCs/>
        </w:rPr>
        <w:t xml:space="preserve">$7.73</w:t>
      </w:r>
      <w:r>
        <w:t xml:space="preserve">, the top of the range.</w:t>
      </w:r>
    </w:p>
    <w:p>
      <w:pPr>
        <w:pStyle w:val="Compact"/>
        <w:numPr>
          <w:ilvl w:val="0"/>
          <w:numId w:val="1002"/>
        </w:numPr>
      </w:pPr>
      <w:r>
        <w:t xml:space="preserve">No deterioration in DTE Vantage’s expected RNG tax-credit contribution.</w:t>
      </w:r>
    </w:p>
    <w:p>
      <w:pPr>
        <w:pStyle w:val="Compact"/>
        <w:numPr>
          <w:ilvl w:val="0"/>
          <w:numId w:val="1002"/>
        </w:numPr>
      </w:pPr>
      <w:r>
        <w:t xml:space="preserve">Evidence that Energy Trading remains on pace for the</w:t>
      </w:r>
      <w:r>
        <w:t xml:space="preserve"> </w:t>
      </w:r>
      <w:r>
        <w:rPr>
          <w:b/>
          <w:bCs/>
        </w:rPr>
        <w:t xml:space="preserve">upper end of its</w:t>
      </w:r>
      <w:r>
        <w:rPr>
          <w:b/>
          <w:bCs/>
        </w:rPr>
        <w:t xml:space="preserve"> </w:t>
      </w:r>
      <m:oMath>
        <m:r>
          <m:t>50</m:t>
        </m:r>
        <m:r>
          <m:t>M</m:t>
        </m:r>
        <m:r>
          <m:rPr>
            <m:sty m:val="p"/>
          </m:rPr>
          <m:t>–</m:t>
        </m:r>
      </m:oMath>
      <w:r>
        <w:rPr>
          <w:b/>
          <w:bCs/>
        </w:rPr>
        <w:t xml:space="preserve">60M range</w:t>
      </w:r>
      <w:r>
        <w:t xml:space="preserve">.</w:t>
      </w:r>
    </w:p>
    <w:p>
      <w:pPr>
        <w:pStyle w:val="Compact"/>
        <w:numPr>
          <w:ilvl w:val="0"/>
          <w:numId w:val="1002"/>
        </w:numPr>
      </w:pPr>
      <w:r>
        <w:t xml:space="preserve">No meaningful increase in the current 2026 equity issuance plan.</w:t>
      </w:r>
    </w:p>
    <w:p>
      <w:r>
        <w:pict>
          <v:rect style="width:0;height:1.5pt" o:hralign="center" o:hrstd="t" o:hr="t"/>
        </w:pict>
      </w:r>
    </w:p>
    <w:bookmarkEnd w:id="10"/>
    <w:bookmarkEnd w:id="11"/>
    <w:bookmarkStart w:id="12" w:name="X75ca219ec422caacac500d89252051a8ed31665"/>
    <w:p>
      <w:pPr>
        <w:pStyle w:val="Heading2"/>
      </w:pPr>
      <w:r>
        <w:t xml:space="preserve">1. DTE Electric: underlying execution is more important than reported variance</w:t>
      </w:r>
    </w:p>
    <w:p>
      <w:pPr>
        <w:pStyle w:val="FirstParagraph"/>
      </w:pPr>
      <w:r>
        <w:t xml:space="preserve">DTE Electric is the central earnings engine and represents roughly 85% of segment-level positive operating earnings guidance.</w:t>
      </w:r>
    </w:p>
    <w:p>
      <w:pPr>
        <w:pStyle w:val="BodyText"/>
      </w:pPr>
      <w:r>
        <w:t xml:space="preserve">Q1 Electric operating earnings were</w:t>
      </w:r>
      <w:r>
        <w:t xml:space="preserve"> </w:t>
      </w:r>
      <w:r>
        <w:rPr>
          <w:b/>
          <w:bCs/>
        </w:rPr>
        <w:t xml:space="preserve">$218 million</w:t>
      </w:r>
      <w:r>
        <w:t xml:space="preserve">, up $71 million year over year. Drivers included:</w:t>
      </w:r>
    </w:p>
    <w:p>
      <w:pPr>
        <w:pStyle w:val="Compact"/>
        <w:numPr>
          <w:ilvl w:val="0"/>
          <w:numId w:val="1003"/>
        </w:numPr>
      </w:pPr>
      <w:r>
        <w:t xml:space="preserve">Tax timing.</w:t>
      </w:r>
    </w:p>
    <w:p>
      <w:pPr>
        <w:pStyle w:val="Compact"/>
        <w:numPr>
          <w:ilvl w:val="0"/>
          <w:numId w:val="1003"/>
        </w:numPr>
      </w:pPr>
      <w:r>
        <w:t xml:space="preserve">New-rate implementation.</w:t>
      </w:r>
    </w:p>
    <w:p>
      <w:pPr>
        <w:pStyle w:val="Compact"/>
        <w:numPr>
          <w:ilvl w:val="0"/>
          <w:numId w:val="1003"/>
        </w:numPr>
      </w:pPr>
      <w:r>
        <w:t xml:space="preserve">Colder weather.</w:t>
      </w:r>
    </w:p>
    <w:p>
      <w:pPr>
        <w:pStyle w:val="Compact"/>
        <w:numPr>
          <w:ilvl w:val="0"/>
          <w:numId w:val="1003"/>
        </w:numPr>
      </w:pPr>
      <w:r>
        <w:t xml:space="preserve">Partly offsetting increases in rate-base and O&amp;M costs.</w:t>
      </w:r>
    </w:p>
    <w:p>
      <w:pPr>
        <w:pStyle w:val="FirstParagraph"/>
      </w:pPr>
      <w:r>
        <w:t xml:space="preserve">For Q2, investors should separate recurring utility growth from timing items. Key questions include:</w:t>
      </w:r>
    </w:p>
    <w:p>
      <w:pPr>
        <w:pStyle w:val="Compact"/>
        <w:numPr>
          <w:ilvl w:val="0"/>
          <w:numId w:val="1004"/>
        </w:numPr>
      </w:pPr>
      <w:r>
        <w:t xml:space="preserve">Is rate-base growth offsetting higher depreciation, financing and operating costs?</w:t>
      </w:r>
    </w:p>
    <w:p>
      <w:pPr>
        <w:pStyle w:val="Compact"/>
        <w:numPr>
          <w:ilvl w:val="0"/>
          <w:numId w:val="1004"/>
        </w:numPr>
      </w:pPr>
      <w:r>
        <w:t xml:space="preserve">Are distribution O&amp;M expenses tracking plan?</w:t>
      </w:r>
    </w:p>
    <w:p>
      <w:pPr>
        <w:pStyle w:val="Compact"/>
        <w:numPr>
          <w:ilvl w:val="0"/>
          <w:numId w:val="1004"/>
        </w:numPr>
      </w:pPr>
      <w:r>
        <w:t xml:space="preserve">Has improved reliability reduced storm-restoration costs or other operational pressure?</w:t>
      </w:r>
    </w:p>
    <w:p>
      <w:pPr>
        <w:pStyle w:val="Compact"/>
        <w:numPr>
          <w:ilvl w:val="0"/>
          <w:numId w:val="1004"/>
        </w:numPr>
      </w:pPr>
      <w:r>
        <w:t xml:space="preserve">How are weather-normalized residential, commercial and industrial sales trending?</w:t>
      </w:r>
    </w:p>
    <w:p>
      <w:pPr>
        <w:pStyle w:val="Compact"/>
        <w:numPr>
          <w:ilvl w:val="0"/>
          <w:numId w:val="1004"/>
        </w:numPr>
      </w:pPr>
      <w:r>
        <w:t xml:space="preserve">Is industrial demand stabilizing after Q1 weather-normal sales fell 6.1%, partly because of lower steel output?</w:t>
      </w:r>
    </w:p>
    <w:p>
      <w:pPr>
        <w:pStyle w:val="FirstParagraph"/>
      </w:pPr>
      <w:r>
        <w:t xml:space="preserve">DTE’s operating narrative remains strong: it says outage duration improved approximately 90% from 2023 through 2025 and that it is on track to reduce outage frequency by 30% and cut outage time in half by 2029. Confirmation that reliability gains have continued through the second quarter would support both regulatory outcomes and customer affordability claims.</w:t>
      </w:r>
    </w:p>
    <w:p>
      <w:r>
        <w:pict>
          <v:rect style="width:0;height:1.5pt" o:hralign="center" o:hrstd="t" o:hr="t"/>
        </w:pict>
      </w:r>
    </w:p>
    <w:bookmarkEnd w:id="12"/>
    <w:bookmarkStart w:id="13" w:name="Xa9ef5528d1736e6ea2138c9d1f599b7711ba5af"/>
    <w:p>
      <w:pPr>
        <w:pStyle w:val="Heading2"/>
      </w:pPr>
      <w:r>
        <w:t xml:space="preserve">2. Google approval is probably the biggest near-term catalyst</w:t>
      </w:r>
    </w:p>
    <w:p>
      <w:pPr>
        <w:pStyle w:val="FirstParagraph"/>
      </w:pPr>
      <w:r>
        <w:t xml:space="preserve">DTE has signed an agreement to serve a</w:t>
      </w:r>
      <w:r>
        <w:t xml:space="preserve"> </w:t>
      </w:r>
      <w:r>
        <w:rPr>
          <w:b/>
          <w:bCs/>
        </w:rPr>
        <w:t xml:space="preserve">1 GW Google data center</w:t>
      </w:r>
      <w:r>
        <w:t xml:space="preserve">, with demand expected to reach full scale by the end of 2028. The agreement remains outside the current long-term financial plan pending regulatory approval.</w:t>
      </w:r>
    </w:p>
    <w:p>
      <w:pPr>
        <w:pStyle w:val="BodyText"/>
      </w:pPr>
      <w:r>
        <w:t xml:space="preserve">Management previously indicated that:</w:t>
      </w:r>
    </w:p>
    <w:p>
      <w:pPr>
        <w:pStyle w:val="Compact"/>
        <w:numPr>
          <w:ilvl w:val="0"/>
          <w:numId w:val="1005"/>
        </w:numPr>
      </w:pPr>
      <w:r>
        <w:t xml:space="preserve">Approval was expected around</w:t>
      </w:r>
      <w:r>
        <w:t xml:space="preserve"> </w:t>
      </w:r>
      <w:r>
        <w:rPr>
          <w:b/>
          <w:bCs/>
        </w:rPr>
        <w:t xml:space="preserve">September 2026</w:t>
      </w:r>
      <w:r>
        <w:t xml:space="preserve">.</w:t>
      </w:r>
    </w:p>
    <w:p>
      <w:pPr>
        <w:pStyle w:val="Compact"/>
        <w:numPr>
          <w:ilvl w:val="0"/>
          <w:numId w:val="1005"/>
        </w:numPr>
      </w:pPr>
      <w:r>
        <w:t xml:space="preserve">Serving Google could require approximately</w:t>
      </w:r>
      <w:r>
        <w:t xml:space="preserve"> </w:t>
      </w:r>
      <w:r>
        <w:rPr>
          <w:b/>
          <w:bCs/>
        </w:rPr>
        <w:t xml:space="preserve">$5 billion</w:t>
      </w:r>
      <w:r>
        <w:t xml:space="preserve"> </w:t>
      </w:r>
      <w:r>
        <w:t xml:space="preserve">of incremental generation and storage investment through 2032.</w:t>
      </w:r>
    </w:p>
    <w:p>
      <w:pPr>
        <w:pStyle w:val="Compact"/>
        <w:numPr>
          <w:ilvl w:val="0"/>
          <w:numId w:val="1005"/>
        </w:numPr>
      </w:pPr>
      <w:r>
        <w:t xml:space="preserve">The project could involve up to 1,600 MW of renewables, 480 MW of storage and 350 MW of demand response, plus longer-term generation identified through the Integrated Resource Plan.</w:t>
      </w:r>
    </w:p>
    <w:p>
      <w:pPr>
        <w:pStyle w:val="Compact"/>
        <w:numPr>
          <w:ilvl w:val="0"/>
          <w:numId w:val="1005"/>
        </w:numPr>
      </w:pPr>
      <w:r>
        <w:t xml:space="preserve">The contract has a 20-year term, minimum monthly charges and credit, collateral and termination protections.</w:t>
      </w:r>
    </w:p>
    <w:p>
      <w:pPr>
        <w:pStyle w:val="Compact"/>
        <w:numPr>
          <w:ilvl w:val="0"/>
          <w:numId w:val="1005"/>
        </w:numPr>
      </w:pPr>
      <w:r>
        <w:t xml:space="preserve">Management believes Google alone could help DTE reach an 8% long-term EPS growth trajectory, although it has not formally incorporated the project.</w:t>
      </w:r>
    </w:p>
    <w:p>
      <w:pPr>
        <w:pStyle w:val="FirstParagraph"/>
      </w:pPr>
      <w:r>
        <w:t xml:space="preserve">The Q2 call should clarify:</w:t>
      </w:r>
    </w:p>
    <w:p>
      <w:pPr>
        <w:pStyle w:val="Compact"/>
        <w:numPr>
          <w:ilvl w:val="0"/>
          <w:numId w:val="1006"/>
        </w:numPr>
      </w:pPr>
      <w:r>
        <w:t xml:space="preserve">Whether the regulatory timetable remains intact.</w:t>
      </w:r>
    </w:p>
    <w:p>
      <w:pPr>
        <w:pStyle w:val="Compact"/>
        <w:numPr>
          <w:ilvl w:val="0"/>
          <w:numId w:val="1006"/>
        </w:numPr>
      </w:pPr>
      <w:r>
        <w:t xml:space="preserve">Whether intervenor or commission feedback has changed management’s confidence.</w:t>
      </w:r>
    </w:p>
    <w:p>
      <w:pPr>
        <w:pStyle w:val="Compact"/>
        <w:numPr>
          <w:ilvl w:val="0"/>
          <w:numId w:val="1006"/>
        </w:numPr>
      </w:pPr>
      <w:r>
        <w:t xml:space="preserve">When the $5 billion of capital would enter the five-year plan.</w:t>
      </w:r>
    </w:p>
    <w:p>
      <w:pPr>
        <w:pStyle w:val="Compact"/>
        <w:numPr>
          <w:ilvl w:val="0"/>
          <w:numId w:val="1006"/>
        </w:numPr>
      </w:pPr>
      <w:r>
        <w:t xml:space="preserve">How much falls within 2026–2030 versus after 2030.</w:t>
      </w:r>
    </w:p>
    <w:p>
      <w:pPr>
        <w:pStyle w:val="Compact"/>
        <w:numPr>
          <w:ilvl w:val="0"/>
          <w:numId w:val="1006"/>
        </w:numPr>
      </w:pPr>
      <w:r>
        <w:t xml:space="preserve">Whether the projected financing mix has changed.</w:t>
      </w:r>
    </w:p>
    <w:p>
      <w:pPr>
        <w:pStyle w:val="FirstParagraph"/>
      </w:pPr>
      <w:r>
        <w:t xml:space="preserve">A clean path to September approval would be more meaningful than a modest quarterly EPS beat.</w:t>
      </w:r>
    </w:p>
    <w:p>
      <w:r>
        <w:pict>
          <v:rect style="width:0;height:1.5pt" o:hralign="center" o:hrstd="t" o:hr="t"/>
        </w:pict>
      </w:r>
    </w:p>
    <w:bookmarkEnd w:id="13"/>
    <w:bookmarkStart w:id="15" w:name="Xc6d030e3bf59c36df941efd505342b790a1a446"/>
    <w:p>
      <w:pPr>
        <w:pStyle w:val="Heading2"/>
      </w:pPr>
      <w:r>
        <w:t xml:space="preserve">3. Watch for a third major data-center agreement</w:t>
      </w:r>
    </w:p>
    <w:p>
      <w:pPr>
        <w:pStyle w:val="FirstParagraph"/>
      </w:pPr>
      <w:r>
        <w:t xml:space="preserve">Beyond Oracle and Google, DTE has described:</w:t>
      </w:r>
    </w:p>
    <w:p>
      <w:pPr>
        <w:pStyle w:val="Compact"/>
        <w:numPr>
          <w:ilvl w:val="0"/>
          <w:numId w:val="1007"/>
        </w:numPr>
      </w:pPr>
      <w:r>
        <w:t xml:space="preserve">Approximately</w:t>
      </w:r>
      <w:r>
        <w:t xml:space="preserve"> </w:t>
      </w:r>
      <w:r>
        <w:rPr>
          <w:b/>
          <w:bCs/>
        </w:rPr>
        <w:t xml:space="preserve">2 GW in advanced discussions</w:t>
      </w:r>
      <w:r>
        <w:t xml:space="preserve"> </w:t>
      </w:r>
      <w:r>
        <w:t xml:space="preserve">with additional hyperscalers.</w:t>
      </w:r>
    </w:p>
    <w:p>
      <w:pPr>
        <w:pStyle w:val="Compact"/>
        <w:numPr>
          <w:ilvl w:val="0"/>
          <w:numId w:val="1007"/>
        </w:numPr>
      </w:pPr>
      <w:r>
        <w:t xml:space="preserve">Another</w:t>
      </w:r>
      <w:r>
        <w:t xml:space="preserve"> </w:t>
      </w:r>
      <w:r>
        <w:rPr>
          <w:b/>
          <w:bCs/>
        </w:rPr>
        <w:t xml:space="preserve">3–4 GW of potential pipeline load</w:t>
      </w:r>
      <w:r>
        <w:t xml:space="preserve">.</w:t>
      </w:r>
    </w:p>
    <w:p>
      <w:pPr>
        <w:pStyle w:val="Compact"/>
        <w:numPr>
          <w:ilvl w:val="0"/>
          <w:numId w:val="1007"/>
        </w:numPr>
      </w:pPr>
      <w:r>
        <w:t xml:space="preserve">A target of finalizing at least one additional agreement by year-end 2026.</w:t>
      </w:r>
    </w:p>
    <w:p>
      <w:pPr>
        <w:pStyle w:val="FirstParagraph"/>
      </w:pPr>
      <w:r>
        <w:t xml:space="preserve">Management said one late-stage project had completed zoning and another had a pathway to zoning. Any advancement since April could materially improve confidence that DTE’s growth opportunity extends beyond the two announced customers.</w:t>
      </w:r>
    </w:p>
    <w:bookmarkStart w:id="14" w:name="what-investors-should-listen-for"/>
    <w:p>
      <w:pPr>
        <w:pStyle w:val="Heading3"/>
      </w:pPr>
      <w:r>
        <w:t xml:space="preserve">What investors should listen for</w:t>
      </w:r>
    </w:p>
    <w:p>
      <w:pPr>
        <w:pStyle w:val="Compact"/>
        <w:numPr>
          <w:ilvl w:val="0"/>
          <w:numId w:val="1008"/>
        </w:numPr>
      </w:pPr>
      <w:r>
        <w:t xml:space="preserve">Has an additional customer reached definitive-contract negotiations?</w:t>
      </w:r>
    </w:p>
    <w:p>
      <w:pPr>
        <w:pStyle w:val="Compact"/>
        <w:numPr>
          <w:ilvl w:val="0"/>
          <w:numId w:val="1008"/>
        </w:numPr>
      </w:pPr>
      <w:r>
        <w:t xml:space="preserve">Is a Q3 or year-end signing still realistic?</w:t>
      </w:r>
    </w:p>
    <w:p>
      <w:pPr>
        <w:pStyle w:val="Compact"/>
        <w:numPr>
          <w:ilvl w:val="0"/>
          <w:numId w:val="1008"/>
        </w:numPr>
      </w:pPr>
      <w:r>
        <w:t xml:space="preserve">Have expected load ramps changed?</w:t>
      </w:r>
    </w:p>
    <w:p>
      <w:pPr>
        <w:pStyle w:val="Compact"/>
        <w:numPr>
          <w:ilvl w:val="0"/>
          <w:numId w:val="1008"/>
        </w:numPr>
      </w:pPr>
      <w:r>
        <w:t xml:space="preserve">Would the next project require substantially more baseload generation?</w:t>
      </w:r>
    </w:p>
    <w:p>
      <w:pPr>
        <w:pStyle w:val="Compact"/>
        <w:numPr>
          <w:ilvl w:val="0"/>
          <w:numId w:val="1008"/>
        </w:numPr>
      </w:pPr>
      <w:r>
        <w:t xml:space="preserve">Are prospective customers accepting similar minimum-demand and credit protections?</w:t>
      </w:r>
    </w:p>
    <w:p>
      <w:pPr>
        <w:pStyle w:val="Compact"/>
        <w:numPr>
          <w:ilvl w:val="0"/>
          <w:numId w:val="1008"/>
        </w:numPr>
      </w:pPr>
      <w:r>
        <w:t xml:space="preserve">Could DTE Vantage’s roughly 350 MW behind-the-meter opportunity be announced separately?</w:t>
      </w:r>
    </w:p>
    <w:p>
      <w:pPr>
        <w:pStyle w:val="FirstParagraph"/>
      </w:pPr>
      <w:r>
        <w:t xml:space="preserve">The most bullish update would be a firm timetable for another signed agreement combined with clear customer protections. A vague pipeline update without contract progress would be less compelling.</w:t>
      </w:r>
    </w:p>
    <w:p>
      <w:r>
        <w:pict>
          <v:rect style="width:0;height:1.5pt" o:hralign="center" o:hrstd="t" o:hr="t"/>
        </w:pict>
      </w:r>
    </w:p>
    <w:bookmarkEnd w:id="14"/>
    <w:bookmarkEnd w:id="15"/>
    <w:bookmarkStart w:id="16" w:name="X378c6d3934b9e92f116b16cd194c665c21c6902"/>
    <w:p>
      <w:pPr>
        <w:pStyle w:val="Heading2"/>
      </w:pPr>
      <w:r>
        <w:t xml:space="preserve">4. Oracle execution should become more tangible</w:t>
      </w:r>
    </w:p>
    <w:p>
      <w:pPr>
        <w:pStyle w:val="FirstParagraph"/>
      </w:pPr>
      <w:r>
        <w:t xml:space="preserve">The approved</w:t>
      </w:r>
      <w:r>
        <w:t xml:space="preserve"> </w:t>
      </w:r>
      <w:r>
        <w:rPr>
          <w:b/>
          <w:bCs/>
        </w:rPr>
        <w:t xml:space="preserve">1.4 GW Oracle project</w:t>
      </w:r>
      <w:r>
        <w:t xml:space="preserve"> </w:t>
      </w:r>
      <w:r>
        <w:t xml:space="preserve">is already included in DTE’s plan. Construction has begun, with initial grid connection expected around year-end 2026 and a substantial load ramp thereafter.</w:t>
      </w:r>
    </w:p>
    <w:p>
      <w:pPr>
        <w:pStyle w:val="BodyText"/>
      </w:pPr>
      <w:r>
        <w:t xml:space="preserve">DTE says the Oracle arrangement includes:</w:t>
      </w:r>
    </w:p>
    <w:p>
      <w:pPr>
        <w:pStyle w:val="Compact"/>
        <w:numPr>
          <w:ilvl w:val="0"/>
          <w:numId w:val="1009"/>
        </w:numPr>
      </w:pPr>
      <w:r>
        <w:t xml:space="preserve">A 19-year power-supply agreement.</w:t>
      </w:r>
    </w:p>
    <w:p>
      <w:pPr>
        <w:pStyle w:val="Compact"/>
        <w:numPr>
          <w:ilvl w:val="0"/>
          <w:numId w:val="1009"/>
        </w:numPr>
      </w:pPr>
      <w:r>
        <w:t xml:space="preserve">Minimum monthly charges.</w:t>
      </w:r>
    </w:p>
    <w:p>
      <w:pPr>
        <w:pStyle w:val="Compact"/>
        <w:numPr>
          <w:ilvl w:val="0"/>
          <w:numId w:val="1009"/>
        </w:numPr>
      </w:pPr>
      <w:r>
        <w:t xml:space="preserve">A 15-year storage contract covering the related capital investment.</w:t>
      </w:r>
    </w:p>
    <w:p>
      <w:pPr>
        <w:pStyle w:val="Compact"/>
        <w:numPr>
          <w:ilvl w:val="0"/>
          <w:numId w:val="1009"/>
        </w:numPr>
      </w:pPr>
      <w:r>
        <w:t xml:space="preserve">Nearly $2 billion of storage investment already reflected in the plan.</w:t>
      </w:r>
    </w:p>
    <w:p>
      <w:pPr>
        <w:pStyle w:val="Compact"/>
        <w:numPr>
          <w:ilvl w:val="0"/>
          <w:numId w:val="1009"/>
        </w:numPr>
      </w:pPr>
      <w:r>
        <w:t xml:space="preserve">Approximately $300 million of annual affordability benefits for existing customers once fully ramped.</w:t>
      </w:r>
    </w:p>
    <w:p>
      <w:pPr>
        <w:pStyle w:val="FirstParagraph"/>
      </w:pPr>
      <w:r>
        <w:t xml:space="preserve">The main Q2 questions are whether construction remains on schedule and whether the expected load ramp has changed. Although Oracle’s 2026 earnings contribution should be limited, the project is important evidence that DTE can convert the data-center thesis into actual load and cash flow.</w:t>
      </w:r>
    </w:p>
    <w:p>
      <w:pPr>
        <w:pStyle w:val="BodyText"/>
      </w:pPr>
      <w:r>
        <w:t xml:space="preserve">Delays would be notable because Oracle is the most advanced project and underpins part of DTE’s expanded capital plan.</w:t>
      </w:r>
    </w:p>
    <w:p>
      <w:r>
        <w:pict>
          <v:rect style="width:0;height:1.5pt" o:hralign="center" o:hrstd="t" o:hr="t"/>
        </w:pict>
      </w:r>
    </w:p>
    <w:bookmarkEnd w:id="16"/>
    <w:bookmarkStart w:id="17" w:name="Xb38a1e0662f0be97b8a8db3cd75965f0c2681c8"/>
    <w:p>
      <w:pPr>
        <w:pStyle w:val="Heading2"/>
      </w:pPr>
      <w:r>
        <w:t xml:space="preserve">5. Energy Trading needs to demonstrate the promised reversal</w:t>
      </w:r>
    </w:p>
    <w:p>
      <w:pPr>
        <w:pStyle w:val="FirstParagraph"/>
      </w:pPr>
      <w:r>
        <w:t xml:space="preserve">Energy Trading was the clearest weak point in Q1. On an operating basis, its earnings were $59 million below the prior-year quarter because of expected timing in the power portfolio. On a GAAP basis, the segment reported a much larger loss because derivatives are marked to market while some associated physical contracts are not.</w:t>
      </w:r>
    </w:p>
    <w:p>
      <w:pPr>
        <w:pStyle w:val="BodyText"/>
      </w:pPr>
      <w:r>
        <w:t xml:space="preserve">Management said:</w:t>
      </w:r>
    </w:p>
    <w:p>
      <w:pPr>
        <w:pStyle w:val="Compact"/>
        <w:numPr>
          <w:ilvl w:val="0"/>
          <w:numId w:val="1010"/>
        </w:numPr>
      </w:pPr>
      <w:r>
        <w:t xml:space="preserve">The Q1 shaping was contemplated in guidance.</w:t>
      </w:r>
    </w:p>
    <w:p>
      <w:pPr>
        <w:pStyle w:val="Compact"/>
        <w:numPr>
          <w:ilvl w:val="0"/>
          <w:numId w:val="1010"/>
        </w:numPr>
      </w:pPr>
      <w:r>
        <w:t xml:space="preserve">Contracted and hedged positions should reverse the timing effect over the rest of 2026.</w:t>
      </w:r>
    </w:p>
    <w:p>
      <w:pPr>
        <w:pStyle w:val="Compact"/>
        <w:numPr>
          <w:ilvl w:val="0"/>
          <w:numId w:val="1010"/>
        </w:numPr>
      </w:pPr>
      <w:r>
        <w:t xml:space="preserve">The business remained on track for the</w:t>
      </w:r>
      <w:r>
        <w:t xml:space="preserve"> </w:t>
      </w:r>
      <w:r>
        <w:rPr>
          <w:b/>
          <w:bCs/>
        </w:rPr>
        <w:t xml:space="preserve">high end of full-year segment guidance</w:t>
      </w:r>
      <w:r>
        <w:t xml:space="preserve">.</w:t>
      </w:r>
    </w:p>
    <w:p>
      <w:pPr>
        <w:pStyle w:val="FirstParagraph"/>
      </w:pPr>
      <w:r>
        <w:t xml:space="preserve">Q2 is therefore an important credibility check. Investors should look for:</w:t>
      </w:r>
    </w:p>
    <w:p>
      <w:pPr>
        <w:pStyle w:val="Compact"/>
        <w:numPr>
          <w:ilvl w:val="0"/>
          <w:numId w:val="1011"/>
        </w:numPr>
      </w:pPr>
      <w:r>
        <w:t xml:space="preserve">A clear sequential recovery.</w:t>
      </w:r>
    </w:p>
    <w:p>
      <w:pPr>
        <w:pStyle w:val="Compact"/>
        <w:numPr>
          <w:ilvl w:val="0"/>
          <w:numId w:val="1011"/>
        </w:numPr>
      </w:pPr>
      <w:r>
        <w:t xml:space="preserve">Continued confidence in</w:t>
      </w:r>
      <w:r>
        <w:t xml:space="preserve"> </w:t>
      </w:r>
      <m:oMath>
        <m:r>
          <m:t>50</m:t>
        </m:r>
        <m:r>
          <m:t>M</m:t>
        </m:r>
        <m:r>
          <m:rPr>
            <m:sty m:val="p"/>
          </m:rPr>
          <m:t>–</m:t>
        </m:r>
      </m:oMath>
      <w:r>
        <w:t xml:space="preserve">60M of full-year operating earnings.</w:t>
      </w:r>
    </w:p>
    <w:p>
      <w:pPr>
        <w:pStyle w:val="Compact"/>
        <w:numPr>
          <w:ilvl w:val="0"/>
          <w:numId w:val="1011"/>
        </w:numPr>
      </w:pPr>
      <w:r>
        <w:t xml:space="preserve">Quantification of timing gains still expected in the second half.</w:t>
      </w:r>
    </w:p>
    <w:p>
      <w:pPr>
        <w:pStyle w:val="Compact"/>
        <w:numPr>
          <w:ilvl w:val="0"/>
          <w:numId w:val="1011"/>
        </w:numPr>
      </w:pPr>
      <w:r>
        <w:t xml:space="preserve">No adverse change in the contracted power and gas portfolios.</w:t>
      </w:r>
    </w:p>
    <w:p>
      <w:pPr>
        <w:pStyle w:val="FirstParagraph"/>
      </w:pPr>
      <w:r>
        <w:t xml:space="preserve">Another weak quarter without a detailed reconciliation would increase concern that the issue is more than accounting cadence.</w:t>
      </w:r>
    </w:p>
    <w:p>
      <w:r>
        <w:pict>
          <v:rect style="width:0;height:1.5pt" o:hralign="center" o:hrstd="t" o:hr="t"/>
        </w:pict>
      </w:r>
    </w:p>
    <w:bookmarkEnd w:id="17"/>
    <w:bookmarkStart w:id="18" w:name="Xb52d554c8628dfa136c1fef5f6061d39137eba6"/>
    <w:p>
      <w:pPr>
        <w:pStyle w:val="Heading2"/>
      </w:pPr>
      <w:r>
        <w:t xml:space="preserve">6. DTE Vantage and RNG tax credits provide the guidance cushion</w:t>
      </w:r>
    </w:p>
    <w:p>
      <w:pPr>
        <w:pStyle w:val="FirstParagraph"/>
      </w:pPr>
      <w:r>
        <w:t xml:space="preserve">DTE Vantage produced</w:t>
      </w:r>
      <w:r>
        <w:t xml:space="preserve"> </w:t>
      </w:r>
      <w:r>
        <w:rPr>
          <w:b/>
          <w:bCs/>
        </w:rPr>
        <w:t xml:space="preserve">$48 million of Q1 operating earnings</w:t>
      </w:r>
      <w:r>
        <w:t xml:space="preserve">, up $9 million year over year. Management expects the segment to earn</w:t>
      </w:r>
      <w:r>
        <w:t xml:space="preserve"> </w:t>
      </w:r>
      <m:oMath>
        <m:r>
          <m:t>180</m:t>
        </m:r>
        <m:r>
          <m:t>M</m:t>
        </m:r>
        <m:r>
          <m:rPr>
            <m:sty m:val="p"/>
          </m:rPr>
          <m:t>–</m:t>
        </m:r>
      </m:oMath>
      <w:r>
        <w:t xml:space="preserve">190M in 2026 and has highlighted</w:t>
      </w:r>
      <w:r>
        <w:t xml:space="preserve"> </w:t>
      </w:r>
      <m:oMath>
        <m:r>
          <m:t>50</m:t>
        </m:r>
        <m:r>
          <m:t>M</m:t>
        </m:r>
        <m:r>
          <m:rPr>
            <m:sty m:val="p"/>
          </m:rPr>
          <m:t>–</m:t>
        </m:r>
      </m:oMath>
      <w:r>
        <w:rPr>
          <w:b/>
          <w:bCs/>
        </w:rPr>
        <w:t xml:space="preserve">60M of RNG tax-credit benefits</w:t>
      </w:r>
      <w:r>
        <w:t xml:space="preserve"> </w:t>
      </w:r>
      <w:r>
        <w:t xml:space="preserve">as a conservative planning assumption.</w:t>
      </w:r>
    </w:p>
    <w:p>
      <w:pPr>
        <w:pStyle w:val="BodyText"/>
      </w:pPr>
      <w:r>
        <w:t xml:space="preserve">The main issues for Q2 are:</w:t>
      </w:r>
    </w:p>
    <w:p>
      <w:pPr>
        <w:pStyle w:val="Compact"/>
        <w:numPr>
          <w:ilvl w:val="0"/>
          <w:numId w:val="1012"/>
        </w:numPr>
      </w:pPr>
      <w:r>
        <w:t xml:space="preserve">RNG production levels.</w:t>
      </w:r>
    </w:p>
    <w:p>
      <w:pPr>
        <w:pStyle w:val="Compact"/>
        <w:numPr>
          <w:ilvl w:val="0"/>
          <w:numId w:val="1012"/>
        </w:numPr>
      </w:pPr>
      <w:r>
        <w:t xml:space="preserve">Final or evolving tax-credit regulations.</w:t>
      </w:r>
    </w:p>
    <w:p>
      <w:pPr>
        <w:pStyle w:val="Compact"/>
        <w:numPr>
          <w:ilvl w:val="0"/>
          <w:numId w:val="1012"/>
        </w:numPr>
      </w:pPr>
      <w:r>
        <w:t xml:space="preserve">Whether the</w:t>
      </w:r>
      <w:r>
        <w:t xml:space="preserve"> </w:t>
      </w:r>
      <m:oMath>
        <m:r>
          <m:t>50</m:t>
        </m:r>
        <m:r>
          <m:t>M</m:t>
        </m:r>
        <m:r>
          <m:rPr>
            <m:sty m:val="p"/>
          </m:rPr>
          <m:t>–</m:t>
        </m:r>
      </m:oMath>
      <w:r>
        <w:t xml:space="preserve">60M assumption remains conservative.</w:t>
      </w:r>
    </w:p>
    <w:p>
      <w:pPr>
        <w:pStyle w:val="Compact"/>
        <w:numPr>
          <w:ilvl w:val="0"/>
          <w:numId w:val="1012"/>
        </w:numPr>
      </w:pPr>
      <w:r>
        <w:t xml:space="preserve">Progress on fixed-fee custom-energy projects.</w:t>
      </w:r>
    </w:p>
    <w:p>
      <w:pPr>
        <w:pStyle w:val="Compact"/>
        <w:numPr>
          <w:ilvl w:val="0"/>
          <w:numId w:val="1012"/>
        </w:numPr>
      </w:pPr>
      <w:r>
        <w:t xml:space="preserve">The possible behind-the-meter data-center generation contract.</w:t>
      </w:r>
    </w:p>
    <w:p>
      <w:pPr>
        <w:pStyle w:val="FirstParagraph"/>
      </w:pPr>
      <w:r>
        <w:t xml:space="preserve">DTE has said RNG credits give it flexibility to deliver at the high end of consolidated guidance through 2030. Any increase in expected credit realization could strengthen that outlook, although management may choose to retain the benefit as contingency rather than raise guidance.</w:t>
      </w:r>
    </w:p>
    <w:p>
      <w:pPr>
        <w:pStyle w:val="BodyText"/>
      </w:pPr>
      <w:r>
        <w:t xml:space="preserve">Investors should also distinguish operating earnings from GAAP results. Q1 GAAP results at Vantage included a</w:t>
      </w:r>
      <w:r>
        <w:t xml:space="preserve"> </w:t>
      </w:r>
      <w:r>
        <w:rPr>
          <w:b/>
          <w:bCs/>
        </w:rPr>
        <w:t xml:space="preserve">$112 million litigation penalty related to the EES Coke judgment</w:t>
      </w:r>
      <w:r>
        <w:t xml:space="preserve">, which management excluded from operating earnings.</w:t>
      </w:r>
    </w:p>
    <w:p>
      <w:r>
        <w:pict>
          <v:rect style="width:0;height:1.5pt" o:hralign="center" o:hrstd="t" o:hr="t"/>
        </w:pict>
      </w:r>
    </w:p>
    <w:bookmarkEnd w:id="18"/>
    <w:bookmarkStart w:id="22" w:name="X596ac8ff515ea97db07c2e02b9b61509b5bc143"/>
    <w:p>
      <w:pPr>
        <w:pStyle w:val="Heading2"/>
      </w:pPr>
      <w:r>
        <w:t xml:space="preserve">7. Regulation is the key bridge between capital spending and EPS growth</w:t>
      </w:r>
    </w:p>
    <w:p>
      <w:pPr>
        <w:pStyle w:val="FirstParagraph"/>
      </w:pPr>
      <w:r>
        <w:t xml:space="preserve">Three regulatory processes deserve attention:</w:t>
      </w:r>
    </w:p>
    <w:bookmarkStart w:id="19" w:name="google-contracts"/>
    <w:p>
      <w:pPr>
        <w:pStyle w:val="Heading3"/>
      </w:pPr>
      <w:r>
        <w:t xml:space="preserve">Google contracts</w:t>
      </w:r>
    </w:p>
    <w:p>
      <w:pPr>
        <w:pStyle w:val="FirstParagraph"/>
      </w:pPr>
      <w:r>
        <w:t xml:space="preserve">The near-term catalyst, with an order previously expected around September 2026.</w:t>
      </w:r>
    </w:p>
    <w:bookmarkEnd w:id="19"/>
    <w:bookmarkStart w:id="20" w:name="dte-gas-rate-case"/>
    <w:p>
      <w:pPr>
        <w:pStyle w:val="Heading3"/>
      </w:pPr>
      <w:r>
        <w:t xml:space="preserve">DTE Gas rate case</w:t>
      </w:r>
    </w:p>
    <w:p>
      <w:pPr>
        <w:pStyle w:val="FirstParagraph"/>
      </w:pPr>
      <w:r>
        <w:t xml:space="preserve">DTE Gas requested a net</w:t>
      </w:r>
      <w:r>
        <w:t xml:space="preserve"> </w:t>
      </w:r>
      <w:r>
        <w:rPr>
          <w:b/>
          <w:bCs/>
        </w:rPr>
        <w:t xml:space="preserve">$163 million base-rate increase</w:t>
      </w:r>
      <w:r>
        <w:t xml:space="preserve"> </w:t>
      </w:r>
      <w:r>
        <w:t xml:space="preserve">and an increase in allowed ROE from 9.8% to 10.25%. A final order is expected in September 2026.</w:t>
      </w:r>
    </w:p>
    <w:bookmarkEnd w:id="20"/>
    <w:bookmarkStart w:id="21" w:name="dte-electric-rate-case"/>
    <w:p>
      <w:pPr>
        <w:pStyle w:val="Heading3"/>
      </w:pPr>
      <w:r>
        <w:t xml:space="preserve">DTE Electric rate case</w:t>
      </w:r>
    </w:p>
    <w:p>
      <w:pPr>
        <w:pStyle w:val="FirstParagraph"/>
      </w:pPr>
      <w:r>
        <w:t xml:space="preserve">DTE Electric filed in April for a</w:t>
      </w:r>
      <w:r>
        <w:t xml:space="preserve"> </w:t>
      </w:r>
      <w:r>
        <w:rPr>
          <w:b/>
          <w:bCs/>
        </w:rPr>
        <w:t xml:space="preserve">$474 million base-rate increase</w:t>
      </w:r>
      <w:r>
        <w:t xml:space="preserve">, based on a projected test year ending February 2028, and requested a 10.25% ROE versus the current 9.9%. The case is mainly intended to support distribution reliability and cleaner-generation investment, with a final order expected in February 2027.</w:t>
      </w:r>
    </w:p>
    <w:p>
      <w:pPr>
        <w:pStyle w:val="BodyText"/>
      </w:pPr>
      <w:r>
        <w:t xml:space="preserve">The Electric filing also seeks to expand predictable infrastructure recovery and establish a mechanism to share excess Oracle-related margin with customers. Management believes the data-center load could eventually delay future rate cases.</w:t>
      </w:r>
    </w:p>
    <w:p>
      <w:pPr>
        <w:pStyle w:val="BodyText"/>
      </w:pPr>
      <w:r>
        <w:t xml:space="preserve">The Q2 call may provide the first meaningful color on staff and intervenor reactions. Pushback on affordability, ROE, the infrastructure recovery mechanism or data-center protections would be a risk to the investment case.</w:t>
      </w:r>
    </w:p>
    <w:p>
      <w:r>
        <w:pict>
          <v:rect style="width:0;height:1.5pt" o:hralign="center" o:hrstd="t" o:hr="t"/>
        </w:pict>
      </w:r>
    </w:p>
    <w:bookmarkEnd w:id="21"/>
    <w:bookmarkEnd w:id="22"/>
    <w:bookmarkStart w:id="23" w:name="X2854d91fdae53b9a8cd69e1d662bbf714327440"/>
    <w:p>
      <w:pPr>
        <w:pStyle w:val="Heading2"/>
      </w:pPr>
      <w:r>
        <w:t xml:space="preserve">8. Financing is the main counterweight to the growth opportunity</w:t>
      </w:r>
    </w:p>
    <w:p>
      <w:pPr>
        <w:pStyle w:val="FirstParagraph"/>
      </w:pPr>
      <w:r>
        <w:t xml:space="preserve">DTE’s current five-year capital plan is</w:t>
      </w:r>
      <w:r>
        <w:t xml:space="preserve"> </w:t>
      </w:r>
      <w:r>
        <w:rPr>
          <w:b/>
          <w:bCs/>
        </w:rPr>
        <w:t xml:space="preserve">$36.5 billion</w:t>
      </w:r>
      <w:r>
        <w:t xml:space="preserve">, including:</w:t>
      </w:r>
    </w:p>
    <w:p>
      <w:pPr>
        <w:pStyle w:val="Compact"/>
        <w:numPr>
          <w:ilvl w:val="0"/>
          <w:numId w:val="1013"/>
        </w:numPr>
      </w:pPr>
      <w:r>
        <w:t xml:space="preserve">$30 billion at DTE Electric.</w:t>
      </w:r>
    </w:p>
    <w:p>
      <w:pPr>
        <w:pStyle w:val="Compact"/>
        <w:numPr>
          <w:ilvl w:val="0"/>
          <w:numId w:val="1013"/>
        </w:numPr>
      </w:pPr>
      <w:r>
        <w:t xml:space="preserve">$4.5 billion at DTE Gas.</w:t>
      </w:r>
    </w:p>
    <w:p>
      <w:pPr>
        <w:pStyle w:val="Compact"/>
        <w:numPr>
          <w:ilvl w:val="0"/>
          <w:numId w:val="1013"/>
        </w:numPr>
      </w:pPr>
      <w:r>
        <w:t xml:space="preserve">Approximately $2 billion at DTE Vantage.</w:t>
      </w:r>
    </w:p>
    <w:p>
      <w:pPr>
        <w:pStyle w:val="FirstParagraph"/>
      </w:pPr>
      <w:r>
        <w:t xml:space="preserve">For 2026 alone, the company expects:</w:t>
      </w:r>
    </w:p>
    <w:p>
      <w:pPr>
        <w:pStyle w:val="Compact"/>
        <w:numPr>
          <w:ilvl w:val="0"/>
          <w:numId w:val="1014"/>
        </w:numPr>
      </w:pPr>
      <w:r>
        <w:t xml:space="preserve">Approximately $3.9 billion of operating cash flow.</w:t>
      </w:r>
    </w:p>
    <w:p>
      <w:pPr>
        <w:pStyle w:val="Compact"/>
        <w:numPr>
          <w:ilvl w:val="0"/>
          <w:numId w:val="1014"/>
        </w:numPr>
      </w:pPr>
      <m:oMath>
        <m:r>
          <m:t>6.72</m:t>
        </m:r>
        <m:r>
          <m:t>B</m:t>
        </m:r>
        <m:r>
          <m:rPr>
            <m:sty m:val="p"/>
          </m:rPr>
          <m:t>–</m:t>
        </m:r>
      </m:oMath>
      <w:r>
        <w:t xml:space="preserve">6.82B of capital expenditures.</w:t>
      </w:r>
    </w:p>
    <w:p>
      <w:pPr>
        <w:pStyle w:val="Compact"/>
        <w:numPr>
          <w:ilvl w:val="0"/>
          <w:numId w:val="1014"/>
        </w:numPr>
      </w:pPr>
      <w:r>
        <w:t xml:space="preserve">Approximately $1 billion of dividends.</w:t>
      </w:r>
    </w:p>
    <w:p>
      <w:pPr>
        <w:pStyle w:val="Compact"/>
        <w:numPr>
          <w:ilvl w:val="0"/>
          <w:numId w:val="1014"/>
        </w:numPr>
      </w:pPr>
      <m:oMath>
        <m:r>
          <m:t>500</m:t>
        </m:r>
        <m:r>
          <m:t>M</m:t>
        </m:r>
        <m:r>
          <m:rPr>
            <m:sty m:val="p"/>
          </m:rPr>
          <m:t>–</m:t>
        </m:r>
      </m:oMath>
      <w:r>
        <w:t xml:space="preserve">600M of external equity issuance.</w:t>
      </w:r>
    </w:p>
    <w:p>
      <w:pPr>
        <w:pStyle w:val="Compact"/>
        <w:numPr>
          <w:ilvl w:val="0"/>
          <w:numId w:val="1014"/>
        </w:numPr>
      </w:pPr>
      <w:r>
        <w:t xml:space="preserve">Roughly $4.9 billion of debt issuance and $1.3 billion of debt redemption.</w:t>
      </w:r>
    </w:p>
    <w:p>
      <w:pPr>
        <w:pStyle w:val="FirstParagraph"/>
      </w:pPr>
      <w:r>
        <w:t xml:space="preserve">DTE had priced more than $350 million of equity through forward-sale agreements by the end of Q1, representing roughly two-thirds of its 2026 target.</w:t>
      </w:r>
    </w:p>
    <w:p>
      <w:pPr>
        <w:pStyle w:val="BodyText"/>
      </w:pPr>
      <w:r>
        <w:t xml:space="preserve">Management has indicated that Google-related capital could require an average of approximately</w:t>
      </w:r>
      <w:r>
        <w:t xml:space="preserve"> </w:t>
      </w:r>
      <w:r>
        <w:rPr>
          <w:b/>
          <w:bCs/>
        </w:rPr>
        <w:t xml:space="preserve">40% equity funding</w:t>
      </w:r>
      <w:r>
        <w:t xml:space="preserve">, depending on cash-flow timing, while hybrids, convertible securities or asset recycling could also be considered.</w:t>
      </w:r>
    </w:p>
    <w:p>
      <w:pPr>
        <w:pStyle w:val="BodyText"/>
      </w:pPr>
      <w:r>
        <w:t xml:space="preserve">Investors should watch for:</w:t>
      </w:r>
    </w:p>
    <w:p>
      <w:pPr>
        <w:pStyle w:val="Compact"/>
        <w:numPr>
          <w:ilvl w:val="0"/>
          <w:numId w:val="1015"/>
        </w:numPr>
      </w:pPr>
      <w:r>
        <w:t xml:space="preserve">Confirmation that 2026 equity remains within</w:t>
      </w:r>
      <w:r>
        <w:t xml:space="preserve"> </w:t>
      </w:r>
      <m:oMath>
        <m:r>
          <m:t>500</m:t>
        </m:r>
        <m:r>
          <m:t>M</m:t>
        </m:r>
        <m:r>
          <m:rPr>
            <m:sty m:val="p"/>
          </m:rPr>
          <m:t>–</m:t>
        </m:r>
      </m:oMath>
      <w:r>
        <w:t xml:space="preserve">600M.</w:t>
      </w:r>
    </w:p>
    <w:p>
      <w:pPr>
        <w:pStyle w:val="Compact"/>
        <w:numPr>
          <w:ilvl w:val="0"/>
          <w:numId w:val="1015"/>
        </w:numPr>
      </w:pPr>
      <w:r>
        <w:t xml:space="preserve">Settlement timing for the forward-sale agreements.</w:t>
      </w:r>
    </w:p>
    <w:p>
      <w:pPr>
        <w:pStyle w:val="Compact"/>
        <w:numPr>
          <w:ilvl w:val="0"/>
          <w:numId w:val="1015"/>
        </w:numPr>
      </w:pPr>
      <w:r>
        <w:t xml:space="preserve">Whether Google changes 2027–2030 equity requirements.</w:t>
      </w:r>
    </w:p>
    <w:p>
      <w:pPr>
        <w:pStyle w:val="Compact"/>
        <w:numPr>
          <w:ilvl w:val="0"/>
          <w:numId w:val="1015"/>
        </w:numPr>
      </w:pPr>
      <w:r>
        <w:t xml:space="preserve">Any increased openness to selling or recycling non-utility assets.</w:t>
      </w:r>
    </w:p>
    <w:p>
      <w:pPr>
        <w:pStyle w:val="Compact"/>
        <w:numPr>
          <w:ilvl w:val="0"/>
          <w:numId w:val="1015"/>
        </w:numPr>
      </w:pPr>
      <w:r>
        <w:t xml:space="preserve">Maintenance of the approximately 15% FFO-to-debt target.</w:t>
      </w:r>
    </w:p>
    <w:p>
      <w:pPr>
        <w:pStyle w:val="FirstParagraph"/>
      </w:pPr>
      <w:r>
        <w:t xml:space="preserve">More growth is positive only if the per-share economics exceed the dilution and financing burden.</w:t>
      </w:r>
    </w:p>
    <w:p>
      <w:r>
        <w:pict>
          <v:rect style="width:0;height:1.5pt" o:hralign="center" o:hrstd="t" o:hr="t"/>
        </w:pict>
      </w:r>
    </w:p>
    <w:bookmarkEnd w:id="23"/>
    <w:bookmarkStart w:id="24" w:name="stock-setup"/>
    <w:p>
      <w:pPr>
        <w:pStyle w:val="Heading2"/>
      </w:pPr>
      <w:r>
        <w:t xml:space="preserve">Stock setup</w:t>
      </w:r>
    </w:p>
    <w:p>
      <w:pPr>
        <w:pStyle w:val="FirstParagraph"/>
      </w:pPr>
      <w:r>
        <w:t xml:space="preserve">DTE closed at</w:t>
      </w:r>
      <w:r>
        <w:t xml:space="preserve"> </w:t>
      </w:r>
      <w:r>
        <w:rPr>
          <w:b/>
          <w:bCs/>
        </w:rPr>
        <w:t xml:space="preserve">$147.26 on July 27</w:t>
      </w:r>
      <w:r>
        <w:t xml:space="preserve">. That is approximately 13% above its first trading-day close of 2026, broadly flat with the day before Q1 results and about 5% below its late-June high.</w:t>
      </w:r>
    </w:p>
    <w:p>
      <w:pPr>
        <w:pStyle w:val="BodyText"/>
      </w:pPr>
      <w:r>
        <w:t xml:space="preserve">That setup suggests the market already recognizes DTE’s data-center opportunity but is not fully pricing a frictionless approval and execution path. The largest potential reactions are therefore likely to come from changes in long-term confidence rather than a small quarterly EPS variance.</w:t>
      </w:r>
    </w:p>
    <w:p>
      <w:r>
        <w:pict>
          <v:rect style="width:0;height:1.5pt" o:hralign="center" o:hrstd="t" o:hr="t"/>
        </w:pict>
      </w:r>
    </w:p>
    <w:bookmarkEnd w:id="24"/>
    <w:bookmarkStart w:id="28" w:name="bull-base-and-bear-interpretations"/>
    <w:p>
      <w:pPr>
        <w:pStyle w:val="Heading2"/>
      </w:pPr>
      <w:r>
        <w:t xml:space="preserve">Bull, base and bear interpretations</w:t>
      </w:r>
    </w:p>
    <w:bookmarkStart w:id="25" w:name="bullish-report"/>
    <w:p>
      <w:pPr>
        <w:pStyle w:val="Heading3"/>
      </w:pPr>
      <w:r>
        <w:t xml:space="preserve">Bullish report</w:t>
      </w:r>
    </w:p>
    <w:p>
      <w:pPr>
        <w:pStyle w:val="Compact"/>
        <w:numPr>
          <w:ilvl w:val="0"/>
          <w:numId w:val="1016"/>
        </w:numPr>
      </w:pPr>
      <w:r>
        <w:t xml:space="preserve">Results support or exceed the high end of 2026 guidance.</w:t>
      </w:r>
    </w:p>
    <w:p>
      <w:pPr>
        <w:pStyle w:val="Compact"/>
        <w:numPr>
          <w:ilvl w:val="0"/>
          <w:numId w:val="1016"/>
        </w:numPr>
      </w:pPr>
      <w:r>
        <w:t xml:space="preserve">Google approval remains on track for September.</w:t>
      </w:r>
    </w:p>
    <w:p>
      <w:pPr>
        <w:pStyle w:val="Compact"/>
        <w:numPr>
          <w:ilvl w:val="0"/>
          <w:numId w:val="1016"/>
        </w:numPr>
      </w:pPr>
      <w:r>
        <w:t xml:space="preserve">Another hyperscaler agreement is close to completion.</w:t>
      </w:r>
    </w:p>
    <w:p>
      <w:pPr>
        <w:pStyle w:val="Compact"/>
        <w:numPr>
          <w:ilvl w:val="0"/>
          <w:numId w:val="1016"/>
        </w:numPr>
      </w:pPr>
      <w:r>
        <w:t xml:space="preserve">Oracle construction and connection remain on schedule.</w:t>
      </w:r>
    </w:p>
    <w:p>
      <w:pPr>
        <w:pStyle w:val="Compact"/>
        <w:numPr>
          <w:ilvl w:val="0"/>
          <w:numId w:val="1016"/>
        </w:numPr>
      </w:pPr>
      <w:r>
        <w:t xml:space="preserve">Energy Trading shows a material reversal of Q1 timing losses.</w:t>
      </w:r>
    </w:p>
    <w:p>
      <w:pPr>
        <w:pStyle w:val="Compact"/>
        <w:numPr>
          <w:ilvl w:val="0"/>
          <w:numId w:val="1016"/>
        </w:numPr>
      </w:pPr>
      <w:r>
        <w:t xml:space="preserve">RNG tax credits track above conservative assumptions.</w:t>
      </w:r>
    </w:p>
    <w:p>
      <w:pPr>
        <w:pStyle w:val="Compact"/>
        <w:numPr>
          <w:ilvl w:val="0"/>
          <w:numId w:val="1016"/>
        </w:numPr>
      </w:pPr>
      <w:r>
        <w:t xml:space="preserve">No increase in 2026 equity needs.</w:t>
      </w:r>
    </w:p>
    <w:p>
      <w:pPr>
        <w:pStyle w:val="Compact"/>
        <w:numPr>
          <w:ilvl w:val="0"/>
          <w:numId w:val="1016"/>
        </w:numPr>
      </w:pPr>
      <w:r>
        <w:t xml:space="preserve">Management signals that Google will move the long-term plan firmly toward 8% EPS growth.</w:t>
      </w:r>
    </w:p>
    <w:bookmarkEnd w:id="25"/>
    <w:bookmarkStart w:id="26" w:name="neutral-report"/>
    <w:p>
      <w:pPr>
        <w:pStyle w:val="Heading3"/>
      </w:pPr>
      <w:r>
        <w:t xml:space="preserve">Neutral report</w:t>
      </w:r>
    </w:p>
    <w:p>
      <w:pPr>
        <w:pStyle w:val="Compact"/>
        <w:numPr>
          <w:ilvl w:val="0"/>
          <w:numId w:val="1017"/>
        </w:numPr>
      </w:pPr>
      <w:r>
        <w:t xml:space="preserve">Guidance and high-end positioning are reiterated.</w:t>
      </w:r>
    </w:p>
    <w:p>
      <w:pPr>
        <w:pStyle w:val="Compact"/>
        <w:numPr>
          <w:ilvl w:val="0"/>
          <w:numId w:val="1017"/>
        </w:numPr>
      </w:pPr>
      <w:r>
        <w:t xml:space="preserve">Utility performance is on plan.</w:t>
      </w:r>
    </w:p>
    <w:p>
      <w:pPr>
        <w:pStyle w:val="Compact"/>
        <w:numPr>
          <w:ilvl w:val="0"/>
          <w:numId w:val="1017"/>
        </w:numPr>
      </w:pPr>
      <w:r>
        <w:t xml:space="preserve">Google and Oracle timelines are unchanged.</w:t>
      </w:r>
    </w:p>
    <w:p>
      <w:pPr>
        <w:pStyle w:val="Compact"/>
        <w:numPr>
          <w:ilvl w:val="0"/>
          <w:numId w:val="1017"/>
        </w:numPr>
      </w:pPr>
      <w:r>
        <w:t xml:space="preserve">Trading improves but remains back-half weighted.</w:t>
      </w:r>
    </w:p>
    <w:p>
      <w:pPr>
        <w:pStyle w:val="Compact"/>
        <w:numPr>
          <w:ilvl w:val="0"/>
          <w:numId w:val="1017"/>
        </w:numPr>
      </w:pPr>
      <w:r>
        <w:t xml:space="preserve">No new data-center contract details.</w:t>
      </w:r>
    </w:p>
    <w:p>
      <w:pPr>
        <w:pStyle w:val="Compact"/>
        <w:numPr>
          <w:ilvl w:val="0"/>
          <w:numId w:val="1017"/>
        </w:numPr>
      </w:pPr>
      <w:r>
        <w:t xml:space="preserve">Financing requirements remain broadly consistent with prior disclosures.</w:t>
      </w:r>
    </w:p>
    <w:bookmarkEnd w:id="26"/>
    <w:bookmarkStart w:id="27" w:name="bearish-report"/>
    <w:p>
      <w:pPr>
        <w:pStyle w:val="Heading3"/>
      </w:pPr>
      <w:r>
        <w:t xml:space="preserve">Bearish report</w:t>
      </w:r>
    </w:p>
    <w:p>
      <w:pPr>
        <w:pStyle w:val="Compact"/>
        <w:numPr>
          <w:ilvl w:val="0"/>
          <w:numId w:val="1018"/>
        </w:numPr>
      </w:pPr>
      <w:r>
        <w:t xml:space="preserve">Management retreats from high-end EPS expectations.</w:t>
      </w:r>
    </w:p>
    <w:p>
      <w:pPr>
        <w:pStyle w:val="Compact"/>
        <w:numPr>
          <w:ilvl w:val="0"/>
          <w:numId w:val="1018"/>
        </w:numPr>
      </w:pPr>
      <w:r>
        <w:t xml:space="preserve">Google approval appears delayed or more contested.</w:t>
      </w:r>
    </w:p>
    <w:p>
      <w:pPr>
        <w:pStyle w:val="Compact"/>
        <w:numPr>
          <w:ilvl w:val="0"/>
          <w:numId w:val="1018"/>
        </w:numPr>
      </w:pPr>
      <w:r>
        <w:t xml:space="preserve">Oracle’s load ramp slips.</w:t>
      </w:r>
    </w:p>
    <w:p>
      <w:pPr>
        <w:pStyle w:val="Compact"/>
        <w:numPr>
          <w:ilvl w:val="0"/>
          <w:numId w:val="1018"/>
        </w:numPr>
      </w:pPr>
      <w:r>
        <w:t xml:space="preserve">The additional 2 GW pipeline fails to advance.</w:t>
      </w:r>
    </w:p>
    <w:p>
      <w:pPr>
        <w:pStyle w:val="Compact"/>
        <w:numPr>
          <w:ilvl w:val="0"/>
          <w:numId w:val="1018"/>
        </w:numPr>
      </w:pPr>
      <w:r>
        <w:t xml:space="preserve">Energy Trading does not show the expected reversal.</w:t>
      </w:r>
    </w:p>
    <w:p>
      <w:pPr>
        <w:pStyle w:val="Compact"/>
        <w:numPr>
          <w:ilvl w:val="0"/>
          <w:numId w:val="1018"/>
        </w:numPr>
      </w:pPr>
      <w:r>
        <w:t xml:space="preserve">RNG tax-credit assumptions are reduced.</w:t>
      </w:r>
    </w:p>
    <w:p>
      <w:pPr>
        <w:pStyle w:val="Compact"/>
        <w:numPr>
          <w:ilvl w:val="0"/>
          <w:numId w:val="1018"/>
        </w:numPr>
      </w:pPr>
      <w:r>
        <w:t xml:space="preserve">Equity issuance or capital requirements rise materially.</w:t>
      </w:r>
    </w:p>
    <w:p>
      <w:pPr>
        <w:pStyle w:val="Compact"/>
        <w:numPr>
          <w:ilvl w:val="0"/>
          <w:numId w:val="1018"/>
        </w:numPr>
      </w:pPr>
      <w:r>
        <w:t xml:space="preserve">Rate-case feedback suggests greater regulatory lag or lower allowed returns.</w:t>
      </w:r>
    </w:p>
    <w:p>
      <w:r>
        <w:pict>
          <v:rect style="width:0;height:1.5pt" o:hralign="center" o:hrstd="t" o:hr="t"/>
        </w:pict>
      </w:r>
    </w:p>
    <w:bookmarkEnd w:id="27"/>
    <w:bookmarkEnd w:id="28"/>
    <w:bookmarkStart w:id="29" w:name="questions-management-should-answer"/>
    <w:p>
      <w:pPr>
        <w:pStyle w:val="Heading2"/>
      </w:pPr>
      <w:r>
        <w:t xml:space="preserve">Questions management should answer</w:t>
      </w:r>
    </w:p>
    <w:p>
      <w:pPr>
        <w:pStyle w:val="Compact"/>
        <w:numPr>
          <w:ilvl w:val="0"/>
          <w:numId w:val="1019"/>
        </w:numPr>
      </w:pPr>
      <w:r>
        <w:rPr>
          <w:b/>
          <w:bCs/>
        </w:rPr>
        <w:t xml:space="preserve">Is $7.73 still the most likely 2026 operating EPS outcome?</w:t>
      </w:r>
    </w:p>
    <w:p>
      <w:pPr>
        <w:pStyle w:val="Compact"/>
        <w:numPr>
          <w:ilvl w:val="0"/>
          <w:numId w:val="1019"/>
        </w:numPr>
      </w:pPr>
      <w:r>
        <w:rPr>
          <w:b/>
          <w:bCs/>
        </w:rPr>
        <w:t xml:space="preserve">What portion of first-half performance is recurring versus tax or mark-to-market timing?</w:t>
      </w:r>
    </w:p>
    <w:p>
      <w:pPr>
        <w:pStyle w:val="Compact"/>
        <w:numPr>
          <w:ilvl w:val="0"/>
          <w:numId w:val="1019"/>
        </w:numPr>
      </w:pPr>
      <w:r>
        <w:rPr>
          <w:b/>
          <w:bCs/>
        </w:rPr>
        <w:t xml:space="preserve">Does Google remain on track for a September regulatory decision?</w:t>
      </w:r>
    </w:p>
    <w:p>
      <w:pPr>
        <w:pStyle w:val="Compact"/>
        <w:numPr>
          <w:ilvl w:val="0"/>
          <w:numId w:val="1019"/>
        </w:numPr>
      </w:pPr>
      <w:r>
        <w:rPr>
          <w:b/>
          <w:bCs/>
        </w:rPr>
        <w:t xml:space="preserve">When will Google’s approximately $5 billion of investment enter the formal capital plan?</w:t>
      </w:r>
    </w:p>
    <w:p>
      <w:pPr>
        <w:pStyle w:val="Compact"/>
        <w:numPr>
          <w:ilvl w:val="0"/>
          <w:numId w:val="1019"/>
        </w:numPr>
      </w:pPr>
      <w:r>
        <w:rPr>
          <w:b/>
          <w:bCs/>
        </w:rPr>
        <w:t xml:space="preserve">How much additional equity would Google require, by year?</w:t>
      </w:r>
    </w:p>
    <w:p>
      <w:pPr>
        <w:pStyle w:val="Compact"/>
        <w:numPr>
          <w:ilvl w:val="0"/>
          <w:numId w:val="1019"/>
        </w:numPr>
      </w:pPr>
      <w:r>
        <w:rPr>
          <w:b/>
          <w:bCs/>
        </w:rPr>
        <w:t xml:space="preserve">Has either of the additional approximately 2 GW hyperscaler projects moved closer to signing?</w:t>
      </w:r>
    </w:p>
    <w:p>
      <w:pPr>
        <w:pStyle w:val="Compact"/>
        <w:numPr>
          <w:ilvl w:val="0"/>
          <w:numId w:val="1019"/>
        </w:numPr>
      </w:pPr>
      <w:r>
        <w:rPr>
          <w:b/>
          <w:bCs/>
        </w:rPr>
        <w:t xml:space="preserve">Is Oracle still expected to connect to the grid by year-end?</w:t>
      </w:r>
    </w:p>
    <w:p>
      <w:pPr>
        <w:pStyle w:val="Compact"/>
        <w:numPr>
          <w:ilvl w:val="0"/>
          <w:numId w:val="1019"/>
        </w:numPr>
      </w:pPr>
      <w:r>
        <w:rPr>
          <w:b/>
          <w:bCs/>
        </w:rPr>
        <w:t xml:space="preserve">How much Energy Trading earnings remain contractually positioned to reverse in the second half?</w:t>
      </w:r>
    </w:p>
    <w:p>
      <w:pPr>
        <w:pStyle w:val="Compact"/>
        <w:numPr>
          <w:ilvl w:val="0"/>
          <w:numId w:val="1019"/>
        </w:numPr>
      </w:pPr>
      <w:r>
        <w:rPr>
          <w:b/>
          <w:bCs/>
        </w:rPr>
        <w:t xml:space="preserve">Are RNG tax credits tracking above the current</w:t>
      </w:r>
      <w:r>
        <w:rPr>
          <w:b/>
          <w:bCs/>
        </w:rPr>
        <w:t xml:space="preserve"> </w:t>
      </w:r>
      <m:oMath>
        <m:r>
          <m:t>50</m:t>
        </m:r>
        <m:r>
          <m:t>M</m:t>
        </m:r>
        <m:r>
          <m:rPr>
            <m:sty m:val="p"/>
          </m:rPr>
          <m:t>–</m:t>
        </m:r>
      </m:oMath>
      <w:r>
        <w:rPr>
          <w:b/>
          <w:bCs/>
        </w:rPr>
        <w:t xml:space="preserve">60M assumption?</w:t>
      </w:r>
    </w:p>
    <w:p>
      <w:pPr>
        <w:pStyle w:val="Compact"/>
        <w:numPr>
          <w:ilvl w:val="0"/>
          <w:numId w:val="1019"/>
        </w:numPr>
      </w:pPr>
      <w:r>
        <w:rPr>
          <w:b/>
          <w:bCs/>
        </w:rPr>
        <w:t xml:space="preserve">What early feedback has DTE received on the Electric rate case and proposed infrastructure recovery mechanism?</w:t>
      </w:r>
    </w:p>
    <w:p>
      <w:r>
        <w:pict>
          <v:rect style="width:0;height:1.5pt" o:hralign="center" o:hrstd="t" o:hr="t"/>
        </w:pict>
      </w:r>
    </w:p>
    <w:bookmarkEnd w:id="29"/>
    <w:bookmarkStart w:id="30" w:name="bottom-line"/>
    <w:p>
      <w:pPr>
        <w:pStyle w:val="Heading2"/>
      </w:pPr>
      <w:r>
        <w:t xml:space="preserve">Bottom line</w:t>
      </w:r>
    </w:p>
    <w:p>
      <w:pPr>
        <w:pStyle w:val="FirstParagraph"/>
      </w:pPr>
      <w:r>
        <w:t xml:space="preserve">DTE’s Q2 print is principally a</w:t>
      </w:r>
      <w:r>
        <w:t xml:space="preserve"> </w:t>
      </w:r>
      <w:r>
        <w:rPr>
          <w:b/>
          <w:bCs/>
        </w:rPr>
        <w:t xml:space="preserve">confidence-and-catalyst report</w:t>
      </w:r>
      <w:r>
        <w:t xml:space="preserve">, not just an EPS event.</w:t>
      </w:r>
    </w:p>
    <w:p>
      <w:pPr>
        <w:pStyle w:val="BodyText"/>
      </w:pPr>
      <w:r>
        <w:t xml:space="preserve">The company already has a credible path to the high end of 2026 guidance. The more important question is whether regulatory approvals and new contracts are converting its unusually large data-center pipeline into durable, per-share growth. Positive Google commentary, another hyperscaler milestone and a clean Energy Trading recovery would reinforce DTE’s claim that it can sustain growth near the top of its 6%–8% range.</w:t>
      </w:r>
    </w:p>
    <w:p>
      <w:pPr>
        <w:pStyle w:val="BodyText"/>
      </w:pPr>
      <w:r>
        <w:t xml:space="preserve">Conversely, delays, rising equity requirements or an unexplained shortfall at Energy Trading would expose the tension between an attractive load-growth opportunity and the capital required to serve it.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2026-07-28T00:30:33Z</dcterms:created>
  <dcterms:modified xsi:type="dcterms:W3CDTF">2026-07-28T00:30:33Z</dcterms:modified>
</cp:coreProperties>
</file>

<file path=docProps/custom.xml><?xml version="1.0" encoding="utf-8"?>
<Properties xmlns="http://schemas.openxmlformats.org/officeDocument/2006/custom-properties" xmlns:vt="http://schemas.openxmlformats.org/officeDocument/2006/docPropsVTypes"/>
</file>