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c9ffc3c763ab7ee18741fdcb84ecfa549a83cc0"/>
    <w:p>
      <w:pPr>
        <w:pStyle w:val="Heading1"/>
      </w:pPr>
      <w:r>
        <w:t xml:space="preserve">DTE Energy (NYSE: DTE) — 2Q26 Earnings Preview</w:t>
      </w:r>
    </w:p>
    <w:p>
      <w:pPr>
        <w:pStyle w:val="BlockText"/>
      </w:pPr>
      <w:r>
        <w:rPr>
          <w:b/>
          <w:bCs/>
        </w:rPr>
        <w:t xml:space="preserve">Timing note:</w:t>
      </w:r>
      <w:r>
        <w:t xml:space="preserve"> </w:t>
      </w:r>
      <w:r>
        <w:t xml:space="preserve">The event date provided is</w:t>
      </w:r>
      <w:r>
        <w:t xml:space="preserve"> </w:t>
      </w:r>
      <w:r>
        <w:rPr>
          <w:b/>
          <w:bCs/>
        </w:rPr>
        <w:t xml:space="preserve">July 28, 2026</w:t>
      </w:r>
      <w:r>
        <w:t xml:space="preserve">, which is</w:t>
      </w:r>
      <w:r>
        <w:t xml:space="preserve"> </w:t>
      </w:r>
      <w:r>
        <w:rPr>
          <w:b/>
          <w:bCs/>
        </w:rPr>
        <w:t xml:space="preserve">today</w:t>
      </w:r>
      <w:r>
        <w:t xml:space="preserve">, not tomorrow. This preview is written ahead of the company’s reported 2Q26 earnings call.</w:t>
      </w:r>
    </w:p>
    <w:bookmarkStart w:id="9" w:name="X906d75644568201aa57b45c6929f46bc49eeac4"/>
    <w:p>
      <w:pPr>
        <w:pStyle w:val="Heading2"/>
      </w:pPr>
      <w:r>
        <w:t xml:space="preserve">Investment view: execution remains the near-term test; data-center monetization is the valuation catalyst</w:t>
      </w:r>
    </w:p>
    <w:p>
      <w:pPr>
        <w:pStyle w:val="FirstParagraph"/>
      </w:pPr>
      <w:r>
        <w:t xml:space="preserve">DTE enters 2Q26 with a constructive setup: management has repeatedly said it is positioned to achieve the</w:t>
      </w:r>
      <w:r>
        <w:t xml:space="preserve"> </w:t>
      </w:r>
      <w:r>
        <w:rPr>
          <w:b/>
          <w:bCs/>
        </w:rPr>
        <w:t xml:space="preserve">high end of its 2026 operating-EPS guidance of</w:t>
      </w:r>
      <w:r>
        <w:rPr>
          <w:b/>
          <w:bCs/>
        </w:rPr>
        <w:t xml:space="preserve"> </w:t>
      </w:r>
      <m:oMath>
        <m:r>
          <m:t>7.59</m:t>
        </m:r>
        <m:r>
          <m:rPr>
            <m:sty m:val="p"/>
          </m:rPr>
          <m:t>–</m:t>
        </m:r>
      </m:oMath>
      <w:r>
        <w:rPr>
          <w:b/>
          <w:bCs/>
        </w:rPr>
        <w:t xml:space="preserve">7.73</w:t>
      </w:r>
      <w:r>
        <w:t xml:space="preserve">, supported principally by renewable-natural-gas (RNG) tax credits, utility investment execution, and the expected reversal of unfavorable Energy Trading timing seen in the first quarter.</w:t>
      </w:r>
    </w:p>
    <w:p>
      <w:pPr>
        <w:pStyle w:val="BodyText"/>
      </w:pPr>
      <w:r>
        <w:t xml:space="preserve">The central question is not likely to be whether DTE can reiterate guidance. Rather, investors will focus on whether the company can translate its unusually large data-center pipeline into approved, financeable utility capital deployment—while preserving customer affordability, credit metrics, and regulatory support. The July report should therefore be judged more on the</w:t>
      </w:r>
      <w:r>
        <w:t xml:space="preserve"> </w:t>
      </w:r>
      <w:r>
        <w:rPr>
          <w:b/>
          <w:bCs/>
        </w:rPr>
        <w:t xml:space="preserve">quality of the update</w:t>
      </w:r>
      <w:r>
        <w:t xml:space="preserve"> </w:t>
      </w:r>
      <w:r>
        <w:t xml:space="preserve">than on a single-quarter EPS outcome.</w:t>
      </w:r>
    </w:p>
    <w:p>
      <w:pPr>
        <w:pStyle w:val="BodyText"/>
      </w:pPr>
      <w:r>
        <w:t xml:space="preserve">DTE shares closed at</w:t>
      </w:r>
      <w:r>
        <w:t xml:space="preserve"> </w:t>
      </w:r>
      <w:r>
        <w:rPr>
          <w:b/>
          <w:bCs/>
        </w:rPr>
        <w:t xml:space="preserve">$147.26 on July 27</w:t>
      </w:r>
      <w:r>
        <w:t xml:space="preserve">, up about</w:t>
      </w:r>
      <w:r>
        <w:t xml:space="preserve"> </w:t>
      </w:r>
      <w:r>
        <w:rPr>
          <w:b/>
          <w:bCs/>
        </w:rPr>
        <w:t xml:space="preserve">14.2% from December 31, 2025</w:t>
      </w:r>
      <w:r>
        <w:t xml:space="preserve">, though about</w:t>
      </w:r>
      <w:r>
        <w:t xml:space="preserve"> </w:t>
      </w:r>
      <w:r>
        <w:rPr>
          <w:b/>
          <w:bCs/>
        </w:rPr>
        <w:t xml:space="preserve">2.9% below</w:t>
      </w:r>
      <w:r>
        <w:t xml:space="preserve"> </w:t>
      </w:r>
      <w:r>
        <w:t xml:space="preserve">the April 30 close following 1Q results.</w:t>
      </w:r>
    </w:p>
    <w:bookmarkEnd w:id="9"/>
    <w:bookmarkStart w:id="17" w:name="what-matters-most-this-quarter"/>
    <w:p>
      <w:pPr>
        <w:pStyle w:val="Heading2"/>
      </w:pPr>
      <w:r>
        <w:t xml:space="preserve">What matters most this quarter</w:t>
      </w:r>
    </w:p>
    <w:bookmarkStart w:id="10" w:name="Xadc58854a2dab251ff5ccc2d02d343c388d5cf0"/>
    <w:p>
      <w:pPr>
        <w:pStyle w:val="Heading3"/>
      </w:pPr>
      <w:r>
        <w:t xml:space="preserve">1. High-end 2026 guidance: confirmation is the baseline</w:t>
      </w:r>
    </w:p>
    <w:p>
      <w:pPr>
        <w:pStyle w:val="FirstParagraph"/>
      </w:pPr>
      <w:r>
        <w:t xml:space="preserve">DTE’s 2026 operating-EPS guidance is</w:t>
      </w:r>
      <w:r>
        <w:t xml:space="preserve"> </w:t>
      </w:r>
      <m:oMath>
        <m:r>
          <m:t>7.59</m:t>
        </m:r>
        <m:r>
          <m:rPr>
            <m:sty m:val="p"/>
          </m:rPr>
          <m:t>–</m:t>
        </m:r>
      </m:oMath>
      <w:r>
        <w:rPr>
          <w:b/>
          <w:bCs/>
        </w:rPr>
        <w:t xml:space="preserve">7.73</w:t>
      </w:r>
      <w:r>
        <w:t xml:space="preserve">, or operating earnings of</w:t>
      </w:r>
      <w:r>
        <w:t xml:space="preserve"> </w:t>
      </w:r>
      <m:oMath>
        <m:r>
          <m:t>1.585</m:t>
        </m:r>
        <m:r>
          <m:rPr>
            <m:sty m:val="p"/>
          </m:rPr>
          <m:t>–</m:t>
        </m:r>
      </m:oMath>
      <w:r>
        <w:rPr>
          <w:b/>
          <w:bCs/>
        </w:rPr>
        <w:t xml:space="preserve">1.615 billion</w:t>
      </w:r>
      <w:r>
        <w:t xml:space="preserve">. Segment guidance is: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Segment</w:t>
            </w:r>
          </w:p>
        </w:tc>
        <w:tc>
          <w:tcPr/>
          <w:p>
            <w:pPr>
              <w:pStyle w:val="Compact"/>
              <w:jc w:val="right"/>
            </w:pPr>
            <w:r>
              <w:t xml:space="preserve">2026 operating-earnings guidance</w:t>
            </w:r>
          </w:p>
        </w:tc>
      </w:tr>
      <w:tr>
        <w:tc>
          <w:tcPr/>
          <w:p>
            <w:pPr>
              <w:pStyle w:val="Compact"/>
            </w:pPr>
            <w:r>
              <w:t xml:space="preserve">DTE Electric</w:t>
            </w:r>
          </w:p>
        </w:tc>
        <w:tc>
          <w:tcPr/>
          <w:p>
            <w:pPr>
              <w:pStyle w:val="Compact"/>
              <w:jc w:val="right"/>
            </w:pPr>
            <m:oMath>
              <m:r>
                <m:t>1.34</m:t>
              </m:r>
              <m:r>
                <m:rPr>
                  <m:sty m:val="p"/>
                </m:rPr>
                <m:t>–</m:t>
              </m:r>
            </m:oMath>
            <w:r>
              <w:t xml:space="preserve">1.36B</w:t>
            </w:r>
          </w:p>
        </w:tc>
      </w:tr>
      <w:tr>
        <w:tc>
          <w:tcPr/>
          <w:p>
            <w:pPr>
              <w:pStyle w:val="Compact"/>
            </w:pPr>
            <w:r>
              <w:t xml:space="preserve">DTE Gas</w:t>
            </w:r>
          </w:p>
        </w:tc>
        <w:tc>
          <w:tcPr/>
          <w:p>
            <w:pPr>
              <w:pStyle w:val="Compact"/>
              <w:jc w:val="right"/>
            </w:pPr>
            <m:oMath>
              <m:r>
                <m:t>315</m:t>
              </m:r>
              <m:r>
                <m:rPr>
                  <m:sty m:val="p"/>
                </m:rPr>
                <m:t>–</m:t>
              </m:r>
            </m:oMath>
            <w:r>
              <w:t xml:space="preserve">325M</w:t>
            </w:r>
          </w:p>
        </w:tc>
      </w:tr>
      <w:tr>
        <w:tc>
          <w:tcPr/>
          <w:p>
            <w:pPr>
              <w:pStyle w:val="Compact"/>
            </w:pPr>
            <w:r>
              <w:t xml:space="preserve">DTE Vantage</w:t>
            </w:r>
          </w:p>
        </w:tc>
        <w:tc>
          <w:tcPr/>
          <w:p>
            <w:pPr>
              <w:pStyle w:val="Compact"/>
              <w:jc w:val="right"/>
            </w:pPr>
            <m:oMath>
              <m:r>
                <m:t>180</m:t>
              </m:r>
              <m:r>
                <m:rPr>
                  <m:sty m:val="p"/>
                </m:rPr>
                <m:t>–</m:t>
              </m:r>
            </m:oMath>
            <w:r>
              <w:t xml:space="preserve">190M</w:t>
            </w:r>
          </w:p>
        </w:tc>
      </w:tr>
      <w:tr>
        <w:tc>
          <w:tcPr/>
          <w:p>
            <w:pPr>
              <w:pStyle w:val="Compact"/>
            </w:pPr>
            <w:r>
              <w:t xml:space="preserve">Energy Trading</w:t>
            </w:r>
          </w:p>
        </w:tc>
        <w:tc>
          <w:tcPr/>
          <w:p>
            <w:pPr>
              <w:pStyle w:val="Compact"/>
              <w:jc w:val="right"/>
            </w:pPr>
            <m:oMath>
              <m:r>
                <m:t>50</m:t>
              </m:r>
              <m:r>
                <m:rPr>
                  <m:sty m:val="p"/>
                </m:rPr>
                <m:t>–</m:t>
              </m:r>
            </m:oMath>
            <w:r>
              <w:t xml:space="preserve">60M</w:t>
            </w:r>
          </w:p>
        </w:tc>
      </w:tr>
      <w:tr>
        <w:tc>
          <w:tcPr/>
          <w:p>
            <w:pPr>
              <w:pStyle w:val="Compact"/>
            </w:pPr>
            <w:r>
              <w:t xml:space="preserve">Corporate &amp; Other</w:t>
            </w:r>
          </w:p>
        </w:tc>
        <w:tc>
          <w:tcPr/>
          <w:p>
            <w:pPr>
              <w:pStyle w:val="Compact"/>
              <w:jc w:val="right"/>
            </w:pPr>
            <m:oMath>
              <m:r>
                <m:rPr>
                  <m:sty m:val="p"/>
                </m:rPr>
                <m:t>(</m:t>
              </m:r>
              <m:r>
                <m:t>300</m:t>
              </m:r>
              <m:r>
                <m:rPr>
                  <m:sty m:val="p"/>
                </m:rPr>
                <m:t>)</m:t>
              </m:r>
              <m:r>
                <m:rPr>
                  <m:sty m:val="p"/>
                </m:rPr>
                <m:t>–</m:t>
              </m:r>
            </m:oMath>
            <w:r>
              <w:t xml:space="preserve">(310)M</w:t>
            </w:r>
          </w:p>
        </w:tc>
      </w:tr>
    </w:tbl>
    <w:p>
      <w:pPr>
        <w:pStyle w:val="BodyText"/>
      </w:pPr>
      <w:r>
        <w:t xml:space="preserve">Management’s high-end confidence rests on RNG tax credits at DTE Vantage. That is important because it provides a buffer against ordinary weather, cost, and timing variability—but it also means investors should separate recurring utility execution from tax-credit-related flexibility.</w:t>
      </w:r>
    </w:p>
    <w:p>
      <w:pPr>
        <w:pStyle w:val="BodyText"/>
      </w:pPr>
      <w:r>
        <w:t xml:space="preserve">In 1Q26, DTE reported operating EPS of</w:t>
      </w:r>
      <w:r>
        <w:t xml:space="preserve"> </w:t>
      </w:r>
      <w:r>
        <w:rPr>
          <w:b/>
          <w:bCs/>
        </w:rPr>
        <w:t xml:space="preserve">$1.95</w:t>
      </w:r>
      <w:r>
        <w:t xml:space="preserve">, but the quarter contained meaningful timing effects: Electric benefited from tax timing, rate implementation, and colder weather, while Energy Trading was negative due to anticipated portfolio timing that management expects to reverse over the balance of 2026. The second quarter should provide the first meaningful validation that the Trading reversal and Vantage tax-credit assumptions are occurring as planned.</w:t>
      </w:r>
    </w:p>
    <w:p>
      <w:pPr>
        <w:pStyle w:val="BodyText"/>
      </w:pPr>
      <w:r>
        <w:rPr>
          <w:b/>
          <w:bCs/>
        </w:rPr>
        <w:t xml:space="preserve">Preview takeaway:</w:t>
      </w:r>
      <w:r>
        <w:t xml:space="preserve"> </w:t>
      </w:r>
      <w:r>
        <w:t xml:space="preserve">Reiteration of high-end guidance should be expected. A stronger signal would be explicit commentary that RNG tax credits are tracking above internal assumptions, Energy Trading’s contracted/hedged positions are unwinding as expected, or that excess 2026 favorability can be retained for future-year flexibility.</w:t>
      </w:r>
    </w:p>
    <w:p>
      <w:r>
        <w:pict>
          <v:rect style="width:0;height:1.5pt" o:hralign="center" o:hrstd="t" o:hr="t"/>
        </w:pict>
      </w:r>
    </w:p>
    <w:bookmarkEnd w:id="10"/>
    <w:bookmarkStart w:id="11" w:name="X4ac60a0b275eead1d748bd81b429e59371b6799"/>
    <w:p>
      <w:pPr>
        <w:pStyle w:val="Heading3"/>
      </w:pPr>
      <w:r>
        <w:t xml:space="preserve">2. Data centers: the core upside is regulatory and contractual, not near-term EPS</w:t>
      </w:r>
    </w:p>
    <w:p>
      <w:pPr>
        <w:pStyle w:val="FirstParagraph"/>
      </w:pPr>
      <w:r>
        <w:t xml:space="preserve">DTE’s growth case is increasingly defined by large-load demand:</w:t>
      </w:r>
    </w:p>
    <w:p>
      <w:pPr>
        <w:pStyle w:val="Compact"/>
        <w:numPr>
          <w:ilvl w:val="0"/>
          <w:numId w:val="1001"/>
        </w:numPr>
      </w:pPr>
      <w:r>
        <w:rPr>
          <w:b/>
          <w:bCs/>
        </w:rPr>
        <w:t xml:space="preserve">Oracle:</w:t>
      </w:r>
      <w:r>
        <w:t xml:space="preserve"> </w:t>
      </w:r>
      <w:r>
        <w:t xml:space="preserve">A</w:t>
      </w:r>
      <w:r>
        <w:t xml:space="preserve"> </w:t>
      </w:r>
      <w:r>
        <w:rPr>
          <w:b/>
          <w:bCs/>
        </w:rPr>
        <w:t xml:space="preserve">1.4 GW</w:t>
      </w:r>
      <w:r>
        <w:t xml:space="preserve"> </w:t>
      </w:r>
      <w:r>
        <w:t xml:space="preserve">data-center project is approved, construction has begun, and DTE expects demand to ramp over the next several years.</w:t>
      </w:r>
    </w:p>
    <w:p>
      <w:pPr>
        <w:pStyle w:val="Compact"/>
        <w:numPr>
          <w:ilvl w:val="0"/>
          <w:numId w:val="1001"/>
        </w:numPr>
      </w:pPr>
      <w:r>
        <w:rPr>
          <w:b/>
          <w:bCs/>
        </w:rPr>
        <w:t xml:space="preserve">Google:</w:t>
      </w:r>
      <w:r>
        <w:t xml:space="preserve"> </w:t>
      </w:r>
      <w:r>
        <w:t xml:space="preserve">DTE has executed a</w:t>
      </w:r>
      <w:r>
        <w:t xml:space="preserve"> </w:t>
      </w:r>
      <w:r>
        <w:rPr>
          <w:b/>
          <w:bCs/>
        </w:rPr>
        <w:t xml:space="preserve">1.0 GW</w:t>
      </w:r>
      <w:r>
        <w:t xml:space="preserve"> </w:t>
      </w:r>
      <w:r>
        <w:t xml:space="preserve">agreement, with the contract under review by the Michigan Public Service Commission (MPSC). Full load ramp is expected by the end of</w:t>
      </w:r>
      <w:r>
        <w:t xml:space="preserve"> </w:t>
      </w:r>
      <w:r>
        <w:rPr>
          <w:b/>
          <w:bCs/>
        </w:rPr>
        <w:t xml:space="preserve">2028</w:t>
      </w:r>
      <w:r>
        <w:t xml:space="preserve">.</w:t>
      </w:r>
    </w:p>
    <w:p>
      <w:pPr>
        <w:pStyle w:val="Compact"/>
        <w:numPr>
          <w:ilvl w:val="0"/>
          <w:numId w:val="1001"/>
        </w:numPr>
      </w:pPr>
      <w:r>
        <w:rPr>
          <w:b/>
          <w:bCs/>
        </w:rPr>
        <w:t xml:space="preserve">Additional pipeline:</w:t>
      </w:r>
      <w:r>
        <w:t xml:space="preserve"> </w:t>
      </w:r>
      <w:r>
        <w:t xml:space="preserve">Management cited roughly</w:t>
      </w:r>
      <w:r>
        <w:t xml:space="preserve"> </w:t>
      </w:r>
      <w:r>
        <w:rPr>
          <w:b/>
          <w:bCs/>
        </w:rPr>
        <w:t xml:space="preserve">2 GW in late-stage discussions</w:t>
      </w:r>
      <w:r>
        <w:t xml:space="preserve"> </w:t>
      </w:r>
      <w:r>
        <w:t xml:space="preserve">and another</w:t>
      </w:r>
      <w:r>
        <w:t xml:space="preserve"> </w:t>
      </w:r>
      <w:r>
        <w:rPr>
          <w:b/>
          <w:bCs/>
        </w:rPr>
        <w:t xml:space="preserve">3–4 GW</w:t>
      </w:r>
      <w:r>
        <w:t xml:space="preserve"> </w:t>
      </w:r>
      <w:r>
        <w:t xml:space="preserve">of longer-term potential opportunities.</w:t>
      </w:r>
    </w:p>
    <w:p>
      <w:pPr>
        <w:pStyle w:val="FirstParagraph"/>
      </w:pPr>
      <w:r>
        <w:t xml:space="preserve">The Google project could require approximately</w:t>
      </w:r>
      <w:r>
        <w:t xml:space="preserve"> </w:t>
      </w:r>
      <w:r>
        <w:rPr>
          <w:b/>
          <w:bCs/>
        </w:rPr>
        <w:t xml:space="preserve">$5 billion of incremental generation and storage investment through 2032</w:t>
      </w:r>
      <w:r>
        <w:t xml:space="preserve">, outside DTE’s existing five-year plan. The initial resource package includes renewables, storage, demand response, and longer-term dispatchable generation to be developed through the forthcoming integrated resource plan (IRP).</w:t>
      </w:r>
    </w:p>
    <w:p>
      <w:pPr>
        <w:pStyle w:val="BodyText"/>
      </w:pPr>
      <w:r>
        <w:t xml:space="preserve">For investors, the relevant issue is whether the contractual protections work as advertised. DTE has emphasized minimum monthly charges, long-term power-supply agreements, termination provisions, and credit/collateral requirements intended to protect existing customers from stranded-asset risk. Management has also estimated significant affordability benefits—roughly</w:t>
      </w:r>
      <w:r>
        <w:t xml:space="preserve"> </w:t>
      </w:r>
      <m:oMath>
        <m:r>
          <m:t>300</m:t>
        </m:r>
        <m:r>
          <m:t>m</m:t>
        </m:r>
        <m:r>
          <m:t>i</m:t>
        </m:r>
        <m:r>
          <m:t>l</m:t>
        </m:r>
        <m:r>
          <m:t>l</m:t>
        </m:r>
        <m:r>
          <m:t>i</m:t>
        </m:r>
        <m:r>
          <m:t>o</m:t>
        </m:r>
        <m:r>
          <m:t>n</m:t>
        </m:r>
        <m:r>
          <m:t>a</m:t>
        </m:r>
        <m:r>
          <m:t>n</m:t>
        </m:r>
        <m:r>
          <m:t>n</m:t>
        </m:r>
        <m:r>
          <m:t>u</m:t>
        </m:r>
        <m:r>
          <m:t>a</m:t>
        </m:r>
        <m:r>
          <m:t>l</m:t>
        </m:r>
        <m:r>
          <m:t>l</m:t>
        </m:r>
        <m:r>
          <m:t>y</m:t>
        </m:r>
        <m:r>
          <m:rPr>
            <m:sty m:val="p"/>
          </m:rPr>
          <m:t>*</m:t>
        </m:r>
        <m:r>
          <m:rPr>
            <m:sty m:val="p"/>
          </m:rPr>
          <m:t>*</m:t>
        </m:r>
        <m:r>
          <m:t>f</m:t>
        </m:r>
        <m:r>
          <m:t>r</m:t>
        </m:r>
        <m:r>
          <m:t>o</m:t>
        </m:r>
        <m:r>
          <m:t>m</m:t>
        </m:r>
        <m:r>
          <m:t>O</m:t>
        </m:r>
        <m:r>
          <m:t>r</m:t>
        </m:r>
        <m:r>
          <m:t>a</m:t>
        </m:r>
        <m:r>
          <m:t>c</m:t>
        </m:r>
        <m:r>
          <m:t>l</m:t>
        </m:r>
        <m:r>
          <m:t>e</m:t>
        </m:r>
        <m:r>
          <m:t>o</m:t>
        </m:r>
        <m:r>
          <m:t>n</m:t>
        </m:r>
        <m:r>
          <m:t>c</m:t>
        </m:r>
        <m:r>
          <m:t>e</m:t>
        </m:r>
        <m:r>
          <m:t>f</m:t>
        </m:r>
        <m:r>
          <m:t>u</m:t>
        </m:r>
        <m:r>
          <m:t>l</m:t>
        </m:r>
        <m:r>
          <m:t>l</m:t>
        </m:r>
        <m:r>
          <m:t>y</m:t>
        </m:r>
        <m:r>
          <m:t>r</m:t>
        </m:r>
        <m:r>
          <m:t>a</m:t>
        </m:r>
        <m:r>
          <m:t>m</m:t>
        </m:r>
        <m:r>
          <m:t>p</m:t>
        </m:r>
        <m:r>
          <m:t>e</m:t>
        </m:r>
        <m:r>
          <m:t>d</m:t>
        </m:r>
        <m:r>
          <m:t>a</m:t>
        </m:r>
        <m:r>
          <m:t>n</m:t>
        </m:r>
        <m:r>
          <m:t>d</m:t>
        </m:r>
        <m:r>
          <m:rPr>
            <m:sty m:val="p"/>
          </m:rPr>
          <m:t>*</m:t>
        </m:r>
        <m:r>
          <m:rPr>
            <m:sty m:val="p"/>
          </m:rPr>
          <m:t>*</m:t>
        </m:r>
      </m:oMath>
      <w:r>
        <w:rPr>
          <w:b/>
          <w:bCs/>
        </w:rPr>
        <w:t xml:space="preserve">1.7 billion over Google’s contract life</w:t>
      </w:r>
      <w:r>
        <w:t xml:space="preserve">.</w:t>
      </w:r>
    </w:p>
    <w:p>
      <w:pPr>
        <w:pStyle w:val="BodyText"/>
      </w:pPr>
      <w:r>
        <w:rPr>
          <w:b/>
          <w:bCs/>
        </w:rPr>
        <w:t xml:space="preserve">What to listen for:</w:t>
      </w:r>
    </w:p>
    <w:p>
      <w:pPr>
        <w:pStyle w:val="Compact"/>
        <w:numPr>
          <w:ilvl w:val="0"/>
          <w:numId w:val="1002"/>
        </w:numPr>
      </w:pPr>
      <w:r>
        <w:t xml:space="preserve">Any update on the expected</w:t>
      </w:r>
      <w:r>
        <w:t xml:space="preserve"> </w:t>
      </w:r>
      <w:r>
        <w:rPr>
          <w:b/>
          <w:bCs/>
        </w:rPr>
        <w:t xml:space="preserve">Google MPSC decision timeline</w:t>
      </w:r>
      <w:r>
        <w:t xml:space="preserve">, previously framed around early September.</w:t>
      </w:r>
    </w:p>
    <w:p>
      <w:pPr>
        <w:pStyle w:val="Compact"/>
        <w:numPr>
          <w:ilvl w:val="0"/>
          <w:numId w:val="1002"/>
        </w:numPr>
      </w:pPr>
      <w:r>
        <w:t xml:space="preserve">Evidence that Oracle construction and load ramp remain on schedule.</w:t>
      </w:r>
    </w:p>
    <w:p>
      <w:pPr>
        <w:pStyle w:val="Compact"/>
        <w:numPr>
          <w:ilvl w:val="0"/>
          <w:numId w:val="1002"/>
        </w:numPr>
      </w:pPr>
      <w:r>
        <w:t xml:space="preserve">A status update on the potential next hyperscaler contract; management previously targeted an additional deal by year-end.</w:t>
      </w:r>
    </w:p>
    <w:p>
      <w:pPr>
        <w:pStyle w:val="Compact"/>
        <w:numPr>
          <w:ilvl w:val="0"/>
          <w:numId w:val="1002"/>
        </w:numPr>
      </w:pPr>
      <w:r>
        <w:t xml:space="preserve">Greater disclosure on customer credit protections, load-ramp flexibility, and required generation/storage timing.</w:t>
      </w:r>
    </w:p>
    <w:p>
      <w:pPr>
        <w:pStyle w:val="Compact"/>
        <w:numPr>
          <w:ilvl w:val="0"/>
          <w:numId w:val="1002"/>
        </w:numPr>
      </w:pPr>
      <w:r>
        <w:t xml:space="preserve">Whether DTE will formally update its five-year capital plan at the 3Q call or EEI conference following regulatory progress.</w:t>
      </w:r>
    </w:p>
    <w:p>
      <w:pPr>
        <w:pStyle w:val="FirstParagraph"/>
      </w:pPr>
      <w:r>
        <w:rPr>
          <w:b/>
          <w:bCs/>
        </w:rPr>
        <w:t xml:space="preserve">Investor interpretation:</w:t>
      </w:r>
      <w:r>
        <w:t xml:space="preserve"> </w:t>
      </w:r>
      <w:r>
        <w:t xml:space="preserve">A positive data-center update would improve the visibility of capital spending and long-term rate-base growth. Conversely, delay in Google approval, zoning, customer construction, or ramp timing would not necessarily impair the long-term opportunity—but could defer the capital and earnings cadence embedded in investor expectations.</w:t>
      </w:r>
    </w:p>
    <w:p>
      <w:r>
        <w:pict>
          <v:rect style="width:0;height:1.5pt" o:hralign="center" o:hrstd="t" o:hr="t"/>
        </w:pict>
      </w:r>
    </w:p>
    <w:bookmarkEnd w:id="11"/>
    <w:bookmarkStart w:id="12" w:name="X9c25d1e905f5dd3ab5290208f04ef34ecf61293"/>
    <w:p>
      <w:pPr>
        <w:pStyle w:val="Heading3"/>
      </w:pPr>
      <w:r>
        <w:t xml:space="preserve">3. Regulatory outcomes are becoming more consequential</w:t>
      </w:r>
    </w:p>
    <w:p>
      <w:pPr>
        <w:pStyle w:val="FirstParagraph"/>
      </w:pPr>
      <w:r>
        <w:t xml:space="preserve">DTE has two major active rate cases: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Proceeding</w:t>
            </w:r>
          </w:p>
        </w:tc>
        <w:tc>
          <w:tcPr/>
          <w:p>
            <w:pPr>
              <w:pStyle w:val="Compact"/>
              <w:jc w:val="right"/>
            </w:pPr>
            <w:r>
              <w:t xml:space="preserve">Request</w:t>
            </w:r>
          </w:p>
        </w:tc>
        <w:tc>
          <w:tcPr/>
          <w:p>
            <w:pPr>
              <w:pStyle w:val="Compact"/>
            </w:pPr>
            <w:r>
              <w:t xml:space="preserve">Expected decision</w:t>
            </w:r>
          </w:p>
        </w:tc>
      </w:tr>
      <w:tr>
        <w:tc>
          <w:tcPr/>
          <w:p>
            <w:pPr>
              <w:pStyle w:val="Compact"/>
            </w:pPr>
            <w:r>
              <w:rPr>
                <w:b/>
                <w:bCs/>
              </w:rPr>
              <w:t xml:space="preserve">DTE Gas rate case</w:t>
            </w:r>
          </w:p>
        </w:tc>
        <w:tc>
          <w:tcPr/>
          <w:p>
            <w:pPr>
              <w:pStyle w:val="Compact"/>
              <w:jc w:val="right"/>
            </w:pPr>
            <w:r>
              <w:t xml:space="preserve">$163M net base-rate increase; 10.25% ROE request</w:t>
            </w:r>
          </w:p>
        </w:tc>
        <w:tc>
          <w:tcPr/>
          <w:p>
            <w:pPr>
              <w:pStyle w:val="Compact"/>
            </w:pPr>
            <w:r>
              <w:t xml:space="preserve">September 2026</w:t>
            </w:r>
          </w:p>
        </w:tc>
      </w:tr>
      <w:tr>
        <w:tc>
          <w:tcPr/>
          <w:p>
            <w:pPr>
              <w:pStyle w:val="Compact"/>
            </w:pPr>
            <w:r>
              <w:rPr>
                <w:b/>
                <w:bCs/>
              </w:rPr>
              <w:t xml:space="preserve">DTE Electric rate case</w:t>
            </w:r>
          </w:p>
        </w:tc>
        <w:tc>
          <w:tcPr/>
          <w:p>
            <w:pPr>
              <w:pStyle w:val="Compact"/>
              <w:jc w:val="right"/>
            </w:pPr>
            <w:r>
              <w:t xml:space="preserve">$474M base-rate increase; 10.25% ROE request</w:t>
            </w:r>
          </w:p>
        </w:tc>
        <w:tc>
          <w:tcPr/>
          <w:p>
            <w:pPr>
              <w:pStyle w:val="Compact"/>
            </w:pPr>
            <w:r>
              <w:t xml:space="preserve">February 2027</w:t>
            </w:r>
          </w:p>
        </w:tc>
      </w:tr>
    </w:tbl>
    <w:p>
      <w:pPr>
        <w:pStyle w:val="BodyText"/>
      </w:pPr>
      <w:r>
        <w:t xml:space="preserve">The Electric filing is especially important because it supports grid-hardening and reliability investment, including DTE’s proposal to increase distribution spending recovered through its Infrastructure Recovery Mechanism (IRM). DTE seeks nearly</w:t>
      </w:r>
      <w:r>
        <w:t xml:space="preserve"> </w:t>
      </w:r>
      <w:r>
        <w:rPr>
          <w:b/>
          <w:bCs/>
        </w:rPr>
        <w:t xml:space="preserve">$800 million</w:t>
      </w:r>
      <w:r>
        <w:t xml:space="preserve"> </w:t>
      </w:r>
      <w:r>
        <w:t xml:space="preserve">of distribution investment in the IRM by 2030.</w:t>
      </w:r>
    </w:p>
    <w:p>
      <w:pPr>
        <w:pStyle w:val="BodyText"/>
      </w:pPr>
      <w:r>
        <w:t xml:space="preserve">The company is also proposing a mechanism that would capture excess margin from Oracle load beyond what is embedded in the rate case and determine how those benefits flow back to customers. If approved, that framework could support a longer period between electric rate cases as large-load demand ramps.</w:t>
      </w:r>
    </w:p>
    <w:p>
      <w:pPr>
        <w:pStyle w:val="BodyText"/>
      </w:pPr>
      <w:r>
        <w:rPr>
          <w:b/>
          <w:bCs/>
        </w:rPr>
        <w:t xml:space="preserve">Why this matters:</w:t>
      </w:r>
      <w:r>
        <w:t xml:space="preserve"> </w:t>
      </w:r>
      <w:r>
        <w:t xml:space="preserve">Data centers only create value if regulators view the resulting load growth as beneficial to existing customers and support timely recovery of the required investment. Investor focus should be on intervenor/staff feedback, any settlement signals, and whether the company’s requested ROE/equity-ratio framework remains credible.</w:t>
      </w:r>
    </w:p>
    <w:p>
      <w:r>
        <w:pict>
          <v:rect style="width:0;height:1.5pt" o:hralign="center" o:hrstd="t" o:hr="t"/>
        </w:pict>
      </w:r>
    </w:p>
    <w:bookmarkEnd w:id="12"/>
    <w:bookmarkStart w:id="13" w:name="X610a9eca6500ae0c92587dd9b7e413bac8b4c9b"/>
    <w:p>
      <w:pPr>
        <w:pStyle w:val="Heading3"/>
      </w:pPr>
      <w:r>
        <w:t xml:space="preserve">4. Utility execution and reliability remain the foundation</w:t>
      </w:r>
    </w:p>
    <w:p>
      <w:pPr>
        <w:pStyle w:val="FirstParagraph"/>
      </w:pPr>
      <w:r>
        <w:t xml:space="preserve">DTE’s regulated utilities remain the earnings base and should account for approximately</w:t>
      </w:r>
      <w:r>
        <w:t xml:space="preserve"> </w:t>
      </w:r>
      <w:r>
        <w:rPr>
          <w:b/>
          <w:bCs/>
        </w:rPr>
        <w:t xml:space="preserve">93% of operating earnings by 2030</w:t>
      </w:r>
      <w:r>
        <w:t xml:space="preserve"> </w:t>
      </w:r>
      <w:r>
        <w:t xml:space="preserve">under management’s long-term plan.</w:t>
      </w:r>
    </w:p>
    <w:p>
      <w:pPr>
        <w:pStyle w:val="BodyText"/>
      </w:pPr>
      <w:r>
        <w:t xml:space="preserve">The company continues to invest heavily in reliability:</w:t>
      </w:r>
    </w:p>
    <w:p>
      <w:pPr>
        <w:pStyle w:val="Compact"/>
        <w:numPr>
          <w:ilvl w:val="0"/>
          <w:numId w:val="1003"/>
        </w:numPr>
      </w:pPr>
      <w:r>
        <w:rPr>
          <w:b/>
          <w:bCs/>
        </w:rPr>
        <w:t xml:space="preserve">$11 billion</w:t>
      </w:r>
      <w:r>
        <w:t xml:space="preserve"> </w:t>
      </w:r>
      <w:r>
        <w:t xml:space="preserve">of planned electric-distribution investment over 2026–2030;</w:t>
      </w:r>
    </w:p>
    <w:p>
      <w:pPr>
        <w:pStyle w:val="Compact"/>
        <w:numPr>
          <w:ilvl w:val="0"/>
          <w:numId w:val="1003"/>
        </w:numPr>
      </w:pPr>
      <w:r>
        <w:t xml:space="preserve">Smart-grid devices, pole-top maintenance, tree trimming, and rebuild of the legacy 4.8 kV system;</w:t>
      </w:r>
    </w:p>
    <w:p>
      <w:pPr>
        <w:pStyle w:val="Compact"/>
        <w:numPr>
          <w:ilvl w:val="0"/>
          <w:numId w:val="1003"/>
        </w:numPr>
      </w:pPr>
      <w:r>
        <w:t xml:space="preserve">Long-term targets to reduce outage frequency by</w:t>
      </w:r>
      <w:r>
        <w:t xml:space="preserve"> </w:t>
      </w:r>
      <w:r>
        <w:rPr>
          <w:b/>
          <w:bCs/>
        </w:rPr>
        <w:t xml:space="preserve">30%</w:t>
      </w:r>
      <w:r>
        <w:t xml:space="preserve"> </w:t>
      </w:r>
      <w:r>
        <w:t xml:space="preserve">and outage duration by</w:t>
      </w:r>
      <w:r>
        <w:t xml:space="preserve"> </w:t>
      </w:r>
      <w:r>
        <w:rPr>
          <w:b/>
          <w:bCs/>
        </w:rPr>
        <w:t xml:space="preserve">50%</w:t>
      </w:r>
      <w:r>
        <w:t xml:space="preserve"> </w:t>
      </w:r>
      <w:r>
        <w:t xml:space="preserve">by 2029.</w:t>
      </w:r>
    </w:p>
    <w:p>
      <w:pPr>
        <w:pStyle w:val="FirstParagraph"/>
      </w:pPr>
      <w:r>
        <w:t xml:space="preserve">Management highlighted strong restoration performance during first-quarter storms, including restoration of more than 99% of customers within 48 hours after a March event. The 2Q call should show whether summer reliability, storm costs, O&amp;M, and generation availability remained favorable.</w:t>
      </w:r>
    </w:p>
    <w:p>
      <w:pPr>
        <w:pStyle w:val="BodyText"/>
      </w:pPr>
      <w:r>
        <w:t xml:space="preserve">The principal near-term utility risk is that stronger reliability requires sustained capital and operating execution while customer affordability stays politically and regulatorily sensitive. DTE’s case is that large-load customers improve affordability by spreading fixed system costs over a larger sales base.</w:t>
      </w:r>
    </w:p>
    <w:p>
      <w:r>
        <w:pict>
          <v:rect style="width:0;height:1.5pt" o:hralign="center" o:hrstd="t" o:hr="t"/>
        </w:pict>
      </w:r>
    </w:p>
    <w:bookmarkEnd w:id="13"/>
    <w:bookmarkStart w:id="16" w:name="X18d990fc1c22743a76f4f4dc4a781e8e7309e1c"/>
    <w:p>
      <w:pPr>
        <w:pStyle w:val="Heading3"/>
      </w:pPr>
      <w:r>
        <w:t xml:space="preserve">5. DTE Vantage and Energy Trading need to normalize after a noisy 1Q</w:t>
      </w:r>
    </w:p>
    <w:bookmarkStart w:id="14" w:name="dte-vantage"/>
    <w:p>
      <w:pPr>
        <w:pStyle w:val="Heading4"/>
      </w:pPr>
      <w:r>
        <w:t xml:space="preserve">DTE Vantage</w:t>
      </w:r>
    </w:p>
    <w:p>
      <w:pPr>
        <w:pStyle w:val="FirstParagraph"/>
      </w:pPr>
      <w:r>
        <w:t xml:space="preserve">DTE Vantage posted a</w:t>
      </w:r>
      <w:r>
        <w:t xml:space="preserve"> </w:t>
      </w:r>
      <w:r>
        <w:rPr>
          <w:b/>
          <w:bCs/>
        </w:rPr>
        <w:t xml:space="preserve">1Q26 loss of</w:t>
      </w:r>
      <w:r>
        <w:rPr>
          <w:b/>
          <w:bCs/>
        </w:rPr>
        <w:t xml:space="preserve"> </w:t>
      </w:r>
      <m:oMath>
        <m:r>
          <m:t>59</m:t>
        </m:r>
        <m:r>
          <m:t>m</m:t>
        </m:r>
        <m:r>
          <m:t>i</m:t>
        </m:r>
        <m:r>
          <m:t>l</m:t>
        </m:r>
        <m:r>
          <m:t>l</m:t>
        </m:r>
        <m:r>
          <m:t>i</m:t>
        </m:r>
        <m:r>
          <m:t>o</m:t>
        </m:r>
        <m:r>
          <m:t>n</m:t>
        </m:r>
        <m:r>
          <m:rPr>
            <m:sty m:val="p"/>
          </m:rPr>
          <m:t>*</m:t>
        </m:r>
        <m:r>
          <m:rPr>
            <m:sty m:val="p"/>
          </m:rPr>
          <m:t>*</m:t>
        </m:r>
        <m:r>
          <m:rPr>
            <m:sty m:val="p"/>
          </m:rPr>
          <m:t>,</m:t>
        </m:r>
        <m:r>
          <m:t>p</m:t>
        </m:r>
        <m:r>
          <m:t>r</m:t>
        </m:r>
        <m:r>
          <m:t>i</m:t>
        </m:r>
        <m:r>
          <m:t>m</m:t>
        </m:r>
        <m:r>
          <m:t>a</m:t>
        </m:r>
        <m:r>
          <m:t>r</m:t>
        </m:r>
        <m:r>
          <m:t>i</m:t>
        </m:r>
        <m:r>
          <m:t>l</m:t>
        </m:r>
        <m:r>
          <m:t>y</m:t>
        </m:r>
        <m:r>
          <m:t>b</m:t>
        </m:r>
        <m:r>
          <m:t>e</m:t>
        </m:r>
        <m:r>
          <m:t>c</m:t>
        </m:r>
        <m:r>
          <m:t>a</m:t>
        </m:r>
        <m:r>
          <m:t>u</m:t>
        </m:r>
        <m:r>
          <m:t>s</m:t>
        </m:r>
        <m:r>
          <m:t>e</m:t>
        </m:r>
        <m:r>
          <m:t>o</m:t>
        </m:r>
        <m:r>
          <m:t>f</m:t>
        </m:r>
        <m:r>
          <m:t>a</m:t>
        </m:r>
        <m:r>
          <m:rPr>
            <m:sty m:val="p"/>
          </m:rPr>
          <m:t>*</m:t>
        </m:r>
        <m:r>
          <m:rPr>
            <m:sty m:val="p"/>
          </m:rPr>
          <m:t>*</m:t>
        </m:r>
      </m:oMath>
      <w:r>
        <w:rPr>
          <w:b/>
          <w:bCs/>
        </w:rPr>
        <w:t xml:space="preserve">112 million accrual</w:t>
      </w:r>
      <w:r>
        <w:t xml:space="preserve"> </w:t>
      </w:r>
      <w:r>
        <w:t xml:space="preserve">related to the EES Coke legal judgment. That item obscured otherwise improving operating activity, including custom energy solutions and production-tax-credit generation.</w:t>
      </w:r>
    </w:p>
    <w:p>
      <w:pPr>
        <w:pStyle w:val="BodyText"/>
      </w:pPr>
      <w:r>
        <w:t xml:space="preserve">For 2Q, investors should watch:</w:t>
      </w:r>
    </w:p>
    <w:p>
      <w:pPr>
        <w:pStyle w:val="Compact"/>
        <w:numPr>
          <w:ilvl w:val="0"/>
          <w:numId w:val="1004"/>
        </w:numPr>
      </w:pPr>
      <w:r>
        <w:t xml:space="preserve">RNG tax-credit production and monetization;</w:t>
      </w:r>
    </w:p>
    <w:p>
      <w:pPr>
        <w:pStyle w:val="Compact"/>
        <w:numPr>
          <w:ilvl w:val="0"/>
          <w:numId w:val="1004"/>
        </w:numPr>
      </w:pPr>
      <w:r>
        <w:t xml:space="preserve">Progress on fixed-fee custom-energy projects;</w:t>
      </w:r>
    </w:p>
    <w:p>
      <w:pPr>
        <w:pStyle w:val="Compact"/>
        <w:numPr>
          <w:ilvl w:val="0"/>
          <w:numId w:val="1004"/>
        </w:numPr>
      </w:pPr>
      <w:r>
        <w:t xml:space="preserve">Updates on the planned behind-the-meter generation project for a large data-center customer;</w:t>
      </w:r>
    </w:p>
    <w:p>
      <w:pPr>
        <w:pStyle w:val="Compact"/>
        <w:numPr>
          <w:ilvl w:val="0"/>
          <w:numId w:val="1004"/>
        </w:numPr>
      </w:pPr>
      <w:r>
        <w:t xml:space="preserve">Any further developments in the EES Coke litigation or cash-payment timing.</w:t>
      </w:r>
    </w:p>
    <w:p>
      <w:pPr>
        <w:pStyle w:val="FirstParagraph"/>
      </w:pPr>
      <w:r>
        <w:t xml:space="preserve">Management has positioned Vantage as a source of both 2026 flexibility and longer-term contracted growth, but the legal charge reinforces that the segment has more non-regulated volatility than the core utilities.</w:t>
      </w:r>
    </w:p>
    <w:bookmarkEnd w:id="14"/>
    <w:bookmarkStart w:id="15" w:name="energy-trading"/>
    <w:p>
      <w:pPr>
        <w:pStyle w:val="Heading4"/>
      </w:pPr>
      <w:r>
        <w:t xml:space="preserve">Energy Trading</w:t>
      </w:r>
    </w:p>
    <w:p>
      <w:pPr>
        <w:pStyle w:val="FirstParagraph"/>
      </w:pPr>
      <w:r>
        <w:t xml:space="preserve">Energy Trading was a</w:t>
      </w:r>
      <w:r>
        <w:t xml:space="preserve"> </w:t>
      </w:r>
      <w:r>
        <w:rPr>
          <w:b/>
          <w:bCs/>
        </w:rPr>
        <w:t xml:space="preserve">$78 million loss in 1Q26</w:t>
      </w:r>
      <w:r>
        <w:t xml:space="preserve">, driven largely by expected accounting timing in hedged and contracted positions. Management stated it remains highly confident in reaching the high end of full-year segment guidance.</w:t>
      </w:r>
    </w:p>
    <w:p>
      <w:pPr>
        <w:pStyle w:val="BodyText"/>
      </w:pPr>
      <w:r>
        <w:t xml:space="preserve">This is a key earnings-quality issue for 2Q. Investors should want to see a material reversal in the reported result or a detailed bridge showing why the remaining reversal is firmly contracted and will occur later in the year.</w:t>
      </w:r>
    </w:p>
    <w:p>
      <w:r>
        <w:pict>
          <v:rect style="width:0;height:1.5pt" o:hralign="center" o:hrstd="t" o:hr="t"/>
        </w:pict>
      </w:r>
    </w:p>
    <w:bookmarkEnd w:id="15"/>
    <w:bookmarkEnd w:id="16"/>
    <w:bookmarkEnd w:id="17"/>
    <w:bookmarkStart w:id="18" w:name="X6c05bd030aa5e32805c28e32ab255e65eaa2a69"/>
    <w:p>
      <w:pPr>
        <w:pStyle w:val="Heading2"/>
      </w:pPr>
      <w:r>
        <w:t xml:space="preserve">Financing and balance sheet: growth comes with meaningful equity needs</w:t>
      </w:r>
    </w:p>
    <w:p>
      <w:pPr>
        <w:pStyle w:val="FirstParagraph"/>
      </w:pPr>
      <w:r>
        <w:t xml:space="preserve">DTE’s five-year capital plan totals</w:t>
      </w:r>
      <w:r>
        <w:t xml:space="preserve"> </w:t>
      </w:r>
      <w:r>
        <w:rPr>
          <w:b/>
          <w:bCs/>
        </w:rPr>
        <w:t xml:space="preserve">$36.5 billion</w:t>
      </w:r>
      <w:r>
        <w:t xml:space="preserve"> </w:t>
      </w:r>
      <w:r>
        <w:t xml:space="preserve">for 2026–2030, including:</w:t>
      </w:r>
    </w:p>
    <w:p>
      <w:pPr>
        <w:pStyle w:val="Compact"/>
        <w:numPr>
          <w:ilvl w:val="0"/>
          <w:numId w:val="1005"/>
        </w:numPr>
      </w:pPr>
      <w:r>
        <w:rPr>
          <w:b/>
          <w:bCs/>
        </w:rPr>
        <w:t xml:space="preserve">$30.0 billion</w:t>
      </w:r>
      <w:r>
        <w:t xml:space="preserve"> </w:t>
      </w:r>
      <w:r>
        <w:t xml:space="preserve">at DTE Electric;</w:t>
      </w:r>
    </w:p>
    <w:p>
      <w:pPr>
        <w:pStyle w:val="Compact"/>
        <w:numPr>
          <w:ilvl w:val="0"/>
          <w:numId w:val="1005"/>
        </w:numPr>
      </w:pPr>
      <w:r>
        <w:rPr>
          <w:b/>
          <w:bCs/>
        </w:rPr>
        <w:t xml:space="preserve">$4.5 billion</w:t>
      </w:r>
      <w:r>
        <w:t xml:space="preserve"> </w:t>
      </w:r>
      <w:r>
        <w:t xml:space="preserve">at DTE Gas;</w:t>
      </w:r>
    </w:p>
    <w:p>
      <w:pPr>
        <w:pStyle w:val="Compact"/>
        <w:numPr>
          <w:ilvl w:val="0"/>
          <w:numId w:val="1005"/>
        </w:numPr>
      </w:pPr>
      <w:r>
        <w:t xml:space="preserve">Approximately</w:t>
      </w:r>
      <w:r>
        <w:t xml:space="preserve"> </w:t>
      </w:r>
      <w:r>
        <w:rPr>
          <w:b/>
          <w:bCs/>
        </w:rPr>
        <w:t xml:space="preserve">$2.0 billion</w:t>
      </w:r>
      <w:r>
        <w:t xml:space="preserve"> </w:t>
      </w:r>
      <w:r>
        <w:t xml:space="preserve">at DTE Vantage.</w:t>
      </w:r>
    </w:p>
    <w:p>
      <w:pPr>
        <w:pStyle w:val="FirstParagraph"/>
      </w:pPr>
      <w:r>
        <w:t xml:space="preserve">To fund the plan, DTE targets</w:t>
      </w:r>
      <w:r>
        <w:t xml:space="preserve"> </w:t>
      </w:r>
      <m:oMath>
        <m:r>
          <m:t>500</m:t>
        </m:r>
        <m:r>
          <m:rPr>
            <m:sty m:val="p"/>
          </m:rPr>
          <m:t>–</m:t>
        </m:r>
      </m:oMath>
      <w:r>
        <w:rPr>
          <w:b/>
          <w:bCs/>
        </w:rPr>
        <w:t xml:space="preserve">600 million of annual equity issuance from 2026 through 2028</w:t>
      </w:r>
      <w:r>
        <w:t xml:space="preserve">, with similar levels anticipated through 2030. In 1Q, DTE entered forward-sale agreements for more than</w:t>
      </w:r>
      <w:r>
        <w:t xml:space="preserve"> </w:t>
      </w:r>
      <w:r>
        <w:rPr>
          <w:b/>
          <w:bCs/>
        </w:rPr>
        <w:t xml:space="preserve">$350 million</w:t>
      </w:r>
      <w:r>
        <w:t xml:space="preserve"> </w:t>
      </w:r>
      <w:r>
        <w:t xml:space="preserve">of equity, roughly two-thirds of the full-year target at that time.</w:t>
      </w:r>
    </w:p>
    <w:p>
      <w:pPr>
        <w:pStyle w:val="BodyText"/>
      </w:pPr>
      <w:r>
        <w:t xml:space="preserve">The Google-related incremental capex would likely require additional equity and/or hybrid financing. DTE has suggested a roughly</w:t>
      </w:r>
      <w:r>
        <w:t xml:space="preserve"> </w:t>
      </w:r>
      <w:r>
        <w:rPr>
          <w:b/>
          <w:bCs/>
        </w:rPr>
        <w:t xml:space="preserve">40% equity</w:t>
      </w:r>
      <w:r>
        <w:t xml:space="preserve"> </w:t>
      </w:r>
      <w:r>
        <w:t xml:space="preserve">funding mix for incremental growth investment, depending on timing. This should be manageable if the projects are contractually protected and regulatory recovery is constructive—but it constrains the degree to which data-center upside translates directly into per-share upside.</w:t>
      </w:r>
    </w:p>
    <w:p>
      <w:pPr>
        <w:pStyle w:val="BodyText"/>
      </w:pPr>
      <w:r>
        <w:rPr>
          <w:b/>
          <w:bCs/>
        </w:rPr>
        <w:t xml:space="preserve">Key investor question:</w:t>
      </w:r>
      <w:r>
        <w:t xml:space="preserve"> </w:t>
      </w:r>
      <w:r>
        <w:t xml:space="preserve">Can DTE add capital at an attractive enough return to overcome financing dilution while maintaining its targeted approximately</w:t>
      </w:r>
      <w:r>
        <w:t xml:space="preserve"> </w:t>
      </w:r>
      <w:r>
        <w:rPr>
          <w:b/>
          <w:bCs/>
        </w:rPr>
        <w:t xml:space="preserve">15% FFO-to-debt</w:t>
      </w:r>
      <w:r>
        <w:t xml:space="preserve"> </w:t>
      </w:r>
      <w:r>
        <w:t xml:space="preserve">ratio and investment-grade ratings?</w:t>
      </w:r>
    </w:p>
    <w:p>
      <w:r>
        <w:pict>
          <v:rect style="width:0;height:1.5pt" o:hralign="center" o:hrstd="t" o:hr="t"/>
        </w:pict>
      </w:r>
    </w:p>
    <w:bookmarkEnd w:id="18"/>
    <w:bookmarkStart w:id="19" w:name="key-quarterly-reference-point"/>
    <w:p>
      <w:pPr>
        <w:pStyle w:val="Heading2"/>
      </w:pPr>
      <w:r>
        <w:t xml:space="preserve">Key quarterly reference point</w:t>
      </w:r>
    </w:p>
    <w:p>
      <w:pPr>
        <w:pStyle w:val="FirstParagraph"/>
      </w:pPr>
      <w:r>
        <w:t xml:space="preserve">In</w:t>
      </w:r>
      <w:r>
        <w:t xml:space="preserve"> </w:t>
      </w:r>
      <w:r>
        <w:rPr>
          <w:b/>
          <w:bCs/>
        </w:rPr>
        <w:t xml:space="preserve">2Q25</w:t>
      </w:r>
      <w:r>
        <w:t xml:space="preserve">, DTE reported operating EPS of</w:t>
      </w:r>
      <w:r>
        <w:t xml:space="preserve"> </w:t>
      </w:r>
      <w:r>
        <w:rPr>
          <w:b/>
          <w:bCs/>
        </w:rPr>
        <w:t xml:space="preserve">$1.36</w:t>
      </w:r>
      <w:r>
        <w:t xml:space="preserve">, including:</w:t>
      </w:r>
    </w:p>
    <w:p>
      <w:pPr>
        <w:pStyle w:val="Compact"/>
        <w:numPr>
          <w:ilvl w:val="0"/>
          <w:numId w:val="1006"/>
        </w:numPr>
      </w:pPr>
      <w:r>
        <w:t xml:space="preserve">DTE Electric:</w:t>
      </w:r>
      <w:r>
        <w:t xml:space="preserve"> </w:t>
      </w:r>
      <w:r>
        <w:rPr>
          <w:b/>
          <w:bCs/>
        </w:rPr>
        <w:t xml:space="preserve">$318M</w:t>
      </w:r>
    </w:p>
    <w:p>
      <w:pPr>
        <w:pStyle w:val="Compact"/>
        <w:numPr>
          <w:ilvl w:val="0"/>
          <w:numId w:val="1006"/>
        </w:numPr>
      </w:pPr>
      <w:r>
        <w:t xml:space="preserve">DTE Gas:</w:t>
      </w:r>
      <w:r>
        <w:t xml:space="preserve"> </w:t>
      </w:r>
      <w:r>
        <w:rPr>
          <w:b/>
          <w:bCs/>
        </w:rPr>
        <w:t xml:space="preserve">$6M</w:t>
      </w:r>
    </w:p>
    <w:p>
      <w:pPr>
        <w:pStyle w:val="Compact"/>
        <w:numPr>
          <w:ilvl w:val="0"/>
          <w:numId w:val="1006"/>
        </w:numPr>
      </w:pPr>
      <w:r>
        <w:t xml:space="preserve">DTE Vantage:</w:t>
      </w:r>
      <w:r>
        <w:t xml:space="preserve"> </w:t>
      </w:r>
      <w:r>
        <w:rPr>
          <w:b/>
          <w:bCs/>
        </w:rPr>
        <w:t xml:space="preserve">$31M</w:t>
      </w:r>
    </w:p>
    <w:p>
      <w:pPr>
        <w:pStyle w:val="Compact"/>
        <w:numPr>
          <w:ilvl w:val="0"/>
          <w:numId w:val="1006"/>
        </w:numPr>
      </w:pPr>
      <w:r>
        <w:t xml:space="preserve">Energy Trading:</w:t>
      </w:r>
      <w:r>
        <w:t xml:space="preserve"> </w:t>
      </w:r>
      <w:r>
        <w:rPr>
          <w:b/>
          <w:bCs/>
        </w:rPr>
        <w:t xml:space="preserve">$24M</w:t>
      </w:r>
    </w:p>
    <w:p>
      <w:pPr>
        <w:pStyle w:val="Compact"/>
        <w:numPr>
          <w:ilvl w:val="0"/>
          <w:numId w:val="1006"/>
        </w:numPr>
      </w:pPr>
      <w:r>
        <w:t xml:space="preserve">Corporate &amp; Other: a</w:t>
      </w:r>
      <w:r>
        <w:t xml:space="preserve"> </w:t>
      </w:r>
      <w:r>
        <w:rPr>
          <w:b/>
          <w:bCs/>
        </w:rPr>
        <w:t xml:space="preserve">$56M year-over-year headwind</w:t>
      </w:r>
      <w:r>
        <w:t xml:space="preserve">, largely tax timing and interest expense.</w:t>
      </w:r>
    </w:p>
    <w:p>
      <w:pPr>
        <w:pStyle w:val="FirstParagraph"/>
      </w:pPr>
      <w:r>
        <w:t xml:space="preserve">That comparison underscores the seasonal profile: Electric is typically the dominant 2Q contributor, while Gas earnings are modest. The meaningful year-over-year questions for 2Q26 are likely to be Electric rate implementation and cost control, the recovery in Energy Trading, and the extent to which DTE Vantage’s RNG tax credits offset legal and project-development noise.</w:t>
      </w:r>
    </w:p>
    <w:p>
      <w:r>
        <w:pict>
          <v:rect style="width:0;height:1.5pt" o:hralign="center" o:hrstd="t" o:hr="t"/>
        </w:pict>
      </w:r>
    </w:p>
    <w:bookmarkEnd w:id="19"/>
    <w:bookmarkStart w:id="22" w:name="earnings-call-scorecard"/>
    <w:p>
      <w:pPr>
        <w:pStyle w:val="Heading2"/>
      </w:pPr>
      <w:r>
        <w:t xml:space="preserve">Earnings-call scorecard</w:t>
      </w:r>
    </w:p>
    <w:bookmarkStart w:id="20" w:name="bullish-signals"/>
    <w:p>
      <w:pPr>
        <w:pStyle w:val="Heading3"/>
      </w:pPr>
      <w:r>
        <w:t xml:space="preserve">Bullish signals</w:t>
      </w:r>
    </w:p>
    <w:p>
      <w:pPr>
        <w:pStyle w:val="Compact"/>
        <w:numPr>
          <w:ilvl w:val="0"/>
          <w:numId w:val="1007"/>
        </w:numPr>
      </w:pPr>
      <w:r>
        <w:t xml:space="preserve">Reaffirms or strengthens confidence in reaching the</w:t>
      </w:r>
      <w:r>
        <w:t xml:space="preserve"> </w:t>
      </w:r>
      <w:r>
        <w:rPr>
          <w:b/>
          <w:bCs/>
        </w:rPr>
        <w:t xml:space="preserve">high end</w:t>
      </w:r>
      <w:r>
        <w:t xml:space="preserve"> </w:t>
      </w:r>
      <w:r>
        <w:t xml:space="preserve">of 2026 operating-EPS guidance.</w:t>
      </w:r>
    </w:p>
    <w:p>
      <w:pPr>
        <w:pStyle w:val="Compact"/>
        <w:numPr>
          <w:ilvl w:val="0"/>
          <w:numId w:val="1007"/>
        </w:numPr>
      </w:pPr>
      <w:r>
        <w:t xml:space="preserve">Confirms Oracle is on schedule and Google regulatory approval remains on track.</w:t>
      </w:r>
    </w:p>
    <w:p>
      <w:pPr>
        <w:pStyle w:val="Compact"/>
        <w:numPr>
          <w:ilvl w:val="0"/>
          <w:numId w:val="1007"/>
        </w:numPr>
      </w:pPr>
      <w:r>
        <w:t xml:space="preserve">Announces or gives concrete milestones for a new large-load agreement.</w:t>
      </w:r>
    </w:p>
    <w:p>
      <w:pPr>
        <w:pStyle w:val="Compact"/>
        <w:numPr>
          <w:ilvl w:val="0"/>
          <w:numId w:val="1007"/>
        </w:numPr>
      </w:pPr>
      <w:r>
        <w:t xml:space="preserve">Shows Energy Trading timing reversing materially in 2Q.</w:t>
      </w:r>
    </w:p>
    <w:p>
      <w:pPr>
        <w:pStyle w:val="Compact"/>
        <w:numPr>
          <w:ilvl w:val="0"/>
          <w:numId w:val="1007"/>
        </w:numPr>
      </w:pPr>
      <w:r>
        <w:t xml:space="preserve">Reports favorable RNG tax-credit realization.</w:t>
      </w:r>
    </w:p>
    <w:p>
      <w:pPr>
        <w:pStyle w:val="Compact"/>
        <w:numPr>
          <w:ilvl w:val="0"/>
          <w:numId w:val="1007"/>
        </w:numPr>
      </w:pPr>
      <w:r>
        <w:t xml:space="preserve">Indicates constructive staff/intervenor engagement in rate cases.</w:t>
      </w:r>
    </w:p>
    <w:p>
      <w:pPr>
        <w:pStyle w:val="Compact"/>
        <w:numPr>
          <w:ilvl w:val="0"/>
          <w:numId w:val="1007"/>
        </w:numPr>
      </w:pPr>
      <w:r>
        <w:t xml:space="preserve">Provides a clearer timetable for the 3Q IRP and a capital-plan update.</w:t>
      </w:r>
    </w:p>
    <w:bookmarkEnd w:id="20"/>
    <w:bookmarkStart w:id="21" w:name="caution-signals"/>
    <w:p>
      <w:pPr>
        <w:pStyle w:val="Heading3"/>
      </w:pPr>
      <w:r>
        <w:t xml:space="preserve">Caution signals</w:t>
      </w:r>
    </w:p>
    <w:p>
      <w:pPr>
        <w:pStyle w:val="Compact"/>
        <w:numPr>
          <w:ilvl w:val="0"/>
          <w:numId w:val="1008"/>
        </w:numPr>
      </w:pPr>
      <w:r>
        <w:t xml:space="preserve">Any delay in Oracle ramp, Google approval, zoning, or data-center customer construction.</w:t>
      </w:r>
    </w:p>
    <w:p>
      <w:pPr>
        <w:pStyle w:val="Compact"/>
        <w:numPr>
          <w:ilvl w:val="0"/>
          <w:numId w:val="1008"/>
        </w:numPr>
      </w:pPr>
      <w:r>
        <w:t xml:space="preserve">Weaker-than-expected Energy Trading recovery with less certainty around future reversal.</w:t>
      </w:r>
    </w:p>
    <w:p>
      <w:pPr>
        <w:pStyle w:val="Compact"/>
        <w:numPr>
          <w:ilvl w:val="0"/>
          <w:numId w:val="1008"/>
        </w:numPr>
      </w:pPr>
      <w:r>
        <w:t xml:space="preserve">Higher storm/O&amp;M costs that pressure Electric segment performance.</w:t>
      </w:r>
    </w:p>
    <w:p>
      <w:pPr>
        <w:pStyle w:val="Compact"/>
        <w:numPr>
          <w:ilvl w:val="0"/>
          <w:numId w:val="1008"/>
        </w:numPr>
      </w:pPr>
      <w:r>
        <w:t xml:space="preserve">Regulatory pushback on the proposed IRM expansion, ROE, equity ratio, or data-center margin-sharing construct.</w:t>
      </w:r>
    </w:p>
    <w:p>
      <w:pPr>
        <w:pStyle w:val="Compact"/>
        <w:numPr>
          <w:ilvl w:val="0"/>
          <w:numId w:val="1008"/>
        </w:numPr>
      </w:pPr>
      <w:r>
        <w:t xml:space="preserve">Higher financing needs without a commensurate increase in contracted returns or capex visibility.</w:t>
      </w:r>
    </w:p>
    <w:p>
      <w:pPr>
        <w:pStyle w:val="Compact"/>
        <w:numPr>
          <w:ilvl w:val="0"/>
          <w:numId w:val="1008"/>
        </w:numPr>
      </w:pPr>
      <w:r>
        <w:t xml:space="preserve">Incremental EES Coke litigation costs or adverse cash-flow developments.</w:t>
      </w:r>
    </w:p>
    <w:bookmarkEnd w:id="21"/>
    <w:bookmarkEnd w:id="22"/>
    <w:bookmarkStart w:id="24" w:name="bottom-line"/>
    <w:p>
      <w:pPr>
        <w:pStyle w:val="Heading2"/>
      </w:pPr>
      <w:r>
        <w:t xml:space="preserve">Bottom line</w:t>
      </w:r>
    </w:p>
    <w:p>
      <w:pPr>
        <w:pStyle w:val="FirstParagraph"/>
      </w:pPr>
      <w:r>
        <w:t xml:space="preserve">DTE’s 2Q26 print should reinforce a familiar message: the company is executing toward the upper end of 2026 guidance, with RNG tax credits supplying flexibility and regulated utility investment supplying the durable growth base.</w:t>
      </w:r>
    </w:p>
    <w:p>
      <w:pPr>
        <w:pStyle w:val="BodyText"/>
      </w:pPr>
      <w:r>
        <w:t xml:space="preserve">But the stock’s longer-term upside increasingly hinges on a more demanding proposition:</w:t>
      </w:r>
      <w:r>
        <w:t xml:space="preserve"> </w:t>
      </w:r>
      <w:r>
        <w:rPr>
          <w:b/>
          <w:bCs/>
        </w:rPr>
        <w:t xml:space="preserve">turning data-center demand into approved, protected, rate-base investment without weakening affordability, balance-sheet quality, or per-share economics.</w:t>
      </w:r>
      <w:r>
        <w:t xml:space="preserve"> </w:t>
      </w:r>
      <w:r>
        <w:t xml:space="preserve">The most valuable outcome from this report would be increased confidence in that sequence—Google approval progressing, Oracle ramping as planned, a new customer agreement nearing completion, and a clear path to incorporate the resulting capital needs into DTE’s IRP and financing plan.</w:t>
      </w:r>
    </w:p>
    <w:bookmarkStart w:id="23" w:name="source-documents-reviewed"/>
    <w:p>
      <w:pPr>
        <w:pStyle w:val="Heading3"/>
      </w:pPr>
      <w:r>
        <w:t xml:space="preserve">Source documents reviewed</w:t>
      </w:r>
    </w:p>
    <w:p>
      <w:pPr>
        <w:pStyle w:val="Compact"/>
        <w:numPr>
          <w:ilvl w:val="0"/>
          <w:numId w:val="1009"/>
        </w:numPr>
      </w:pPr>
      <w:r>
        <w:t xml:space="preserve">DTE Energy 1Q26 earnings call transcript and 1Q26 Form 10-Q.</w:t>
      </w:r>
    </w:p>
    <w:p>
      <w:pPr>
        <w:pStyle w:val="Compact"/>
        <w:numPr>
          <w:ilvl w:val="0"/>
          <w:numId w:val="1009"/>
        </w:numPr>
      </w:pPr>
      <w:r>
        <w:t xml:space="preserve">DTE Energy May 2026 investor presentation and June 22, 2026 investor-meeting 8-K.</w:t>
      </w:r>
    </w:p>
    <w:p>
      <w:pPr>
        <w:pStyle w:val="Compact"/>
        <w:numPr>
          <w:ilvl w:val="0"/>
          <w:numId w:val="1009"/>
        </w:numPr>
      </w:pPr>
      <w:r>
        <w:t xml:space="preserve">DTE Energy 2Q25 earnings call transcript.</w:t>
      </w:r>
    </w:p>
    <w:bookmarkEnd w:id="23"/>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2026-07-28T00:28:56Z</dcterms:created>
  <dcterms:modified xsi:type="dcterms:W3CDTF">2026-07-28T00:28:56Z</dcterms:modified>
</cp:coreProperties>
</file>

<file path=docProps/custom.xml><?xml version="1.0" encoding="utf-8"?>
<Properties xmlns="http://schemas.openxmlformats.org/officeDocument/2006/custom-properties" xmlns:vt="http://schemas.openxmlformats.org/officeDocument/2006/docPropsVTypes"/>
</file>