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DTE Energy (DTE) — Q2 2026 Earnings Preview</w:t>
      </w:r>
    </w:p>
    <w:p>
      <w:r>
        <w:rPr>
          <w:rFonts w:ascii="Calibri" w:hAnsi="Calibri"/>
          <w:b/>
          <w:color w:val="525866"/>
          <w:sz w:val="22"/>
        </w:rPr>
        <w:t xml:space="preserve">Prepared: </w:t>
      </w:r>
      <w:r>
        <w:rPr>
          <w:rFonts w:ascii="Calibri" w:hAnsi="Calibri"/>
          <w:color w:val="525866"/>
          <w:sz w:val="22"/>
        </w:rPr>
        <w:t xml:space="preserve">July 27, 2026   </w:t>
      </w:r>
      <w:r>
        <w:rPr>
          <w:rFonts w:ascii="Calibri" w:hAnsi="Calibri"/>
          <w:b/>
          <w:color w:val="525866"/>
          <w:sz w:val="22"/>
        </w:rPr>
        <w:t xml:space="preserve">Upcoming Earnings: </w:t>
      </w:r>
      <w:r>
        <w:rPr>
          <w:rFonts w:ascii="Calibri" w:hAnsi="Calibri"/>
          <w:color w:val="525866"/>
          <w:sz w:val="22"/>
        </w:rPr>
        <w:t xml:space="preserve">Q2 2026 (expected late July / early August 2026)   </w:t>
      </w:r>
      <w:r>
        <w:rPr>
          <w:rFonts w:ascii="Calibri" w:hAnsi="Calibri"/>
          <w:b/>
          <w:color w:val="525866"/>
          <w:sz w:val="22"/>
        </w:rPr>
        <w:t xml:space="preserve">Last Earnings: </w:t>
      </w:r>
      <w:r>
        <w:rPr>
          <w:rFonts w:ascii="Calibri" w:hAnsi="Calibri"/>
          <w:color w:val="525866"/>
          <w:sz w:val="22"/>
        </w:rPr>
        <w:t>April 30, 2026 (Q1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sits at a low bar ($1.14 Operating EPS vs. $1.95 actual in Q1 2026) reflecting typical seasonal softness, and management's reiterated confidence in achieving the </w:t>
      </w:r>
      <w:r>
        <w:rPr>
          <w:rFonts w:ascii="Calibri" w:hAnsi="Calibri"/>
          <w:b/>
          <w:color w:val="525866"/>
          <w:sz w:val="22"/>
        </w:rPr>
        <w:t>high end of full-year $7.59–$7.73 guidance</w:t>
      </w:r>
      <w:r>
        <w:rPr>
          <w:rFonts w:ascii="Calibri" w:hAnsi="Calibri"/>
          <w:color w:val="525866"/>
          <w:sz w:val="22"/>
        </w:rPr>
        <w:t xml:space="preserve"> leaves meaningful room for a beat; the single biggest swing factor is whether energy trading timing reverses as management guided.</w:t>
      </w:r>
    </w:p>
    <w:p>
      <w:r>
        <w:rPr>
          <w:rFonts w:ascii="Calibri" w:hAnsi="Calibri"/>
          <w:color w:val="525866"/>
          <w:sz w:val="22"/>
        </w:rPr>
        <w:t xml:space="preserve">Heading into Q2 2026, the bar for DTE is low in absolute terms — consensus Operating EPS of $1.14 implies a meaningful step-down from Q1's $1.95 actual, consistent with the utility's seasonal pattern where Q2 is historically the weakest quarter. Management's posture has been consistently confident: on the Q1 call (April 30), they reiterated they are "well positioned to achieve the high end" of the $7.59–$7.73 full-year guidance range, citing 45Z RNG tax credit flexibility as the key lever. Estimate revisions have been modestly negative since Q1 — the Q2 2026 consensus slipped from $1.49 (as of May 7) to $1.14 currently — likely reflecting energy trading timing uncertainty after the segment posted a negative Q1, though management explicitly flagged this as a timing item expected to reverse. The stock has underperformed XLU slightly since the Q1 print (DTE −2.9% vs. XLU −2.5% indexed), suggesting the market has not yet priced in a meaningful beat, leaving the stock setup neutral-to-slightly-favorable. The key wildcard is the </w:t>
      </w:r>
      <w:r>
        <w:rPr>
          <w:rFonts w:ascii="Calibri" w:hAnsi="Calibri"/>
          <w:b/>
          <w:color w:val="525866"/>
          <w:sz w:val="22"/>
        </w:rPr>
        <w:t>MPSC approval of the Google 1 GW data center contract</w:t>
      </w:r>
      <w:r>
        <w:rPr>
          <w:rFonts w:ascii="Calibri" w:hAnsi="Calibri"/>
          <w:color w:val="525866"/>
          <w:sz w:val="22"/>
        </w:rPr>
        <w:t xml:space="preserve"> (expected September 2026) — any positive regulatory signal or incremental data center announcement ahead of or alongside the print could be a meaningful positive catalyst beyond the EPS line.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bar</w:t>
      </w:r>
      <w:r>
        <w:rPr>
          <w:rFonts w:ascii="Calibri" w:hAnsi="Calibri"/>
          <w:color w:val="525866"/>
          <w:sz w:val="22"/>
        </w:rPr>
        <w:t xml:space="preserve"> heading into Q2 — Operating EPS of $1.14 is well below Q1's $1.95 and the prior-year Q2 actual of $1.36, reflecting seasonal softness and energy trading timing drag. The </w:t>
      </w:r>
      <w:r>
        <w:rPr>
          <w:rFonts w:ascii="Calibri" w:hAnsi="Calibri"/>
          <w:b/>
          <w:color w:val="525866"/>
          <w:sz w:val="22"/>
        </w:rPr>
        <w:t>Electric segment EPS ($1.22 consensus)</w:t>
      </w:r>
      <w:r>
        <w:rPr>
          <w:rFonts w:ascii="Calibri" w:hAnsi="Calibri"/>
          <w:color w:val="525866"/>
          <w:sz w:val="22"/>
        </w:rPr>
        <w:t xml:space="preserve"> is the bigger swing factor given its 80%+ weight in total earnings; energy trading is the wildcard.</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Operating EPS (Diluted)</w:t>
            </w:r>
          </w:p>
        </w:tc>
        <w:tc>
          <w:tcPr>
            <w:tcW w:type="dxa" w:w="1234"/>
          </w:tcPr>
          <w:p>
            <w:r>
              <w:rPr>
                <w:rFonts w:ascii="Calibri" w:hAnsi="Calibri"/>
                <w:sz w:val="22"/>
              </w:rPr>
              <w:t>$1.95</w:t>
            </w:r>
          </w:p>
        </w:tc>
        <w:tc>
          <w:tcPr>
            <w:tcW w:type="dxa" w:w="1234"/>
          </w:tcPr>
          <w:p>
            <w:r>
              <w:rPr>
                <w:rFonts w:ascii="Calibri" w:hAnsi="Calibri"/>
                <w:sz w:val="22"/>
              </w:rPr>
              <w:t>$1.36</w:t>
            </w:r>
          </w:p>
        </w:tc>
        <w:tc>
          <w:tcPr>
            <w:tcW w:type="dxa" w:w="1234"/>
          </w:tcPr>
          <w:p>
            <w:r>
              <w:rPr>
                <w:rFonts w:ascii="Calibri" w:hAnsi="Calibri"/>
                <w:sz w:val="22"/>
              </w:rPr>
              <w:t>$1.14</w:t>
            </w:r>
          </w:p>
        </w:tc>
        <w:tc>
          <w:tcPr>
            <w:tcW w:type="dxa" w:w="1234"/>
          </w:tcPr>
          <w:p>
            <w:r>
              <w:rPr>
                <w:rFonts w:ascii="Calibri" w:hAnsi="Calibri"/>
                <w:sz w:val="22"/>
              </w:rPr>
              <w:t>−16.2%</w:t>
            </w:r>
          </w:p>
        </w:tc>
        <w:tc>
          <w:tcPr>
            <w:tcW w:type="dxa" w:w="1234"/>
          </w:tcPr>
          <w:p>
            <w:r>
              <w:rPr>
                <w:rFonts w:ascii="Calibri" w:hAnsi="Calibri"/>
                <w:sz w:val="22"/>
              </w:rPr>
              <w:t>$7.59–$7.73 ($7.66 mid)</w:t>
            </w:r>
          </w:p>
        </w:tc>
        <w:tc>
          <w:tcPr>
            <w:tcW w:type="dxa" w:w="1234"/>
          </w:tcPr>
          <w:p>
            <w:r>
              <w:rPr>
                <w:rFonts w:ascii="Calibri" w:hAnsi="Calibri"/>
                <w:sz w:val="22"/>
              </w:rPr>
              <w:t>N/A (FY vs. Q)</w:t>
            </w:r>
          </w:p>
        </w:tc>
      </w:tr>
      <w:tr>
        <w:tc>
          <w:tcPr>
            <w:tcW w:type="dxa" w:w="1234"/>
          </w:tcPr>
          <w:p>
            <w:r>
              <w:rPr>
                <w:rFonts w:ascii="Calibri" w:hAnsi="Calibri"/>
                <w:sz w:val="22"/>
              </w:rPr>
              <w:t>Electric Segment Operating EPS</w:t>
            </w:r>
          </w:p>
        </w:tc>
        <w:tc>
          <w:tcPr>
            <w:tcW w:type="dxa" w:w="1234"/>
          </w:tcPr>
          <w:p>
            <w:r>
              <w:rPr>
                <w:rFonts w:ascii="Calibri" w:hAnsi="Calibri"/>
                <w:sz w:val="22"/>
              </w:rPr>
              <w:t>$1.04</w:t>
            </w:r>
          </w:p>
        </w:tc>
        <w:tc>
          <w:tcPr>
            <w:tcW w:type="dxa" w:w="1234"/>
          </w:tcPr>
          <w:p>
            <w:r>
              <w:rPr>
                <w:rFonts w:ascii="Calibri" w:hAnsi="Calibri"/>
                <w:sz w:val="22"/>
              </w:rPr>
              <w:t>$1.53</w:t>
            </w:r>
          </w:p>
        </w:tc>
        <w:tc>
          <w:tcPr>
            <w:tcW w:type="dxa" w:w="1234"/>
          </w:tcPr>
          <w:p>
            <w:r>
              <w:rPr>
                <w:rFonts w:ascii="Calibri" w:hAnsi="Calibri"/>
                <w:sz w:val="22"/>
              </w:rPr>
              <w:t>$1.22</w:t>
            </w:r>
          </w:p>
        </w:tc>
        <w:tc>
          <w:tcPr>
            <w:tcW w:type="dxa" w:w="1234"/>
          </w:tcPr>
          <w:p>
            <w:r>
              <w:rPr>
                <w:rFonts w:ascii="Calibri" w:hAnsi="Calibri"/>
                <w:sz w:val="22"/>
              </w:rPr>
              <w:t>−20.3%</w:t>
            </w:r>
          </w:p>
        </w:tc>
        <w:tc>
          <w:tcPr>
            <w:tcW w:type="dxa" w:w="1234"/>
          </w:tcPr>
          <w:p>
            <w:r>
              <w:rPr>
                <w:rFonts w:ascii="Calibri" w:hAnsi="Calibri"/>
                <w:sz w:val="22"/>
              </w:rPr>
              <w:t>$1,340–$1,360M segment</w:t>
            </w:r>
          </w:p>
        </w:tc>
        <w:tc>
          <w:tcPr>
            <w:tcW w:type="dxa" w:w="1234"/>
          </w:tcPr>
          <w:p>
            <w:r>
              <w:rPr>
                <w:rFonts w:ascii="Calibri" w:hAnsi="Calibri"/>
                <w:sz w:val="22"/>
              </w:rPr>
              <w:t>N/A (FY vs. Q)</w:t>
            </w:r>
          </w:p>
        </w:tc>
      </w:tr>
      <w:tr>
        <w:tc>
          <w:tcPr>
            <w:tcW w:type="dxa" w:w="1234"/>
          </w:tcPr>
          <w:p>
            <w:r>
              <w:rPr>
                <w:rFonts w:ascii="Calibri" w:hAnsi="Calibri"/>
                <w:sz w:val="22"/>
              </w:rPr>
              <w:t>Gas Segment Operating EPS</w:t>
            </w:r>
          </w:p>
        </w:tc>
        <w:tc>
          <w:tcPr>
            <w:tcW w:type="dxa" w:w="1234"/>
          </w:tcPr>
          <w:p>
            <w:r>
              <w:rPr>
                <w:rFonts w:ascii="Calibri" w:hAnsi="Calibri"/>
                <w:sz w:val="22"/>
              </w:rPr>
              <w:t>$1.01</w:t>
            </w:r>
          </w:p>
        </w:tc>
        <w:tc>
          <w:tcPr>
            <w:tcW w:type="dxa" w:w="1234"/>
          </w:tcPr>
          <w:p>
            <w:r>
              <w:rPr>
                <w:rFonts w:ascii="Calibri" w:hAnsi="Calibri"/>
                <w:sz w:val="22"/>
              </w:rPr>
              <w:t>$0.03</w:t>
            </w:r>
          </w:p>
        </w:tc>
        <w:tc>
          <w:tcPr>
            <w:tcW w:type="dxa" w:w="1234"/>
          </w:tcPr>
          <w:p>
            <w:r>
              <w:rPr>
                <w:rFonts w:ascii="Calibri" w:hAnsi="Calibri"/>
                <w:sz w:val="22"/>
              </w:rPr>
              <w:t>$0.06</w:t>
            </w:r>
          </w:p>
        </w:tc>
        <w:tc>
          <w:tcPr>
            <w:tcW w:type="dxa" w:w="1234"/>
          </w:tcPr>
          <w:p>
            <w:r>
              <w:rPr>
                <w:rFonts w:ascii="Calibri" w:hAnsi="Calibri"/>
                <w:sz w:val="22"/>
              </w:rPr>
              <w:t>+100%</w:t>
            </w:r>
          </w:p>
        </w:tc>
        <w:tc>
          <w:tcPr>
            <w:tcW w:type="dxa" w:w="1234"/>
          </w:tcPr>
          <w:p>
            <w:r>
              <w:rPr>
                <w:rFonts w:ascii="Calibri" w:hAnsi="Calibri"/>
                <w:sz w:val="22"/>
              </w:rPr>
              <w:t>$315–$325M segment</w:t>
            </w:r>
          </w:p>
        </w:tc>
        <w:tc>
          <w:tcPr>
            <w:tcW w:type="dxa" w:w="1234"/>
          </w:tcPr>
          <w:p>
            <w:r>
              <w:rPr>
                <w:rFonts w:ascii="Calibri" w:hAnsi="Calibri"/>
                <w:sz w:val="22"/>
              </w:rPr>
              <w:t>N/A (FY vs. Q)</w:t>
            </w:r>
          </w:p>
        </w:tc>
      </w:tr>
      <w:tr>
        <w:tc>
          <w:tcPr>
            <w:tcW w:type="dxa" w:w="1234"/>
          </w:tcPr>
          <w:p>
            <w:r>
              <w:rPr>
                <w:rFonts w:ascii="Calibri" w:hAnsi="Calibri"/>
                <w:sz w:val="22"/>
              </w:rPr>
              <w:t>Energy Trading Operating EPS</w:t>
            </w:r>
          </w:p>
        </w:tc>
        <w:tc>
          <w:tcPr>
            <w:tcW w:type="dxa" w:w="1234"/>
          </w:tcPr>
          <w:p>
            <w:r>
              <w:rPr>
                <w:rFonts w:ascii="Calibri" w:hAnsi="Calibri"/>
                <w:sz w:val="22"/>
              </w:rPr>
              <w:t>−$0.12</w:t>
            </w:r>
          </w:p>
        </w:tc>
        <w:tc>
          <w:tcPr>
            <w:tcW w:type="dxa" w:w="1234"/>
          </w:tcPr>
          <w:p>
            <w:r>
              <w:rPr>
                <w:rFonts w:ascii="Calibri" w:hAnsi="Calibri"/>
                <w:sz w:val="22"/>
              </w:rPr>
              <w:t>$0.12</w:t>
            </w:r>
          </w:p>
        </w:tc>
        <w:tc>
          <w:tcPr>
            <w:tcW w:type="dxa" w:w="1234"/>
          </w:tcPr>
          <w:p>
            <w:r>
              <w:rPr>
                <w:rFonts w:ascii="Calibri" w:hAnsi="Calibri"/>
                <w:sz w:val="22"/>
              </w:rPr>
              <w:t>$0.07</w:t>
            </w:r>
          </w:p>
        </w:tc>
        <w:tc>
          <w:tcPr>
            <w:tcW w:type="dxa" w:w="1234"/>
          </w:tcPr>
          <w:p>
            <w:r>
              <w:rPr>
                <w:rFonts w:ascii="Calibri" w:hAnsi="Calibri"/>
                <w:sz w:val="22"/>
              </w:rPr>
              <w:t>−41.7%</w:t>
            </w:r>
          </w:p>
        </w:tc>
        <w:tc>
          <w:tcPr>
            <w:tcW w:type="dxa" w:w="1234"/>
          </w:tcPr>
          <w:p>
            <w:r>
              <w:rPr>
                <w:rFonts w:ascii="Calibri" w:hAnsi="Calibri"/>
                <w:sz w:val="22"/>
              </w:rPr>
              <w:t>$50–$60M segment</w:t>
            </w:r>
          </w:p>
        </w:tc>
        <w:tc>
          <w:tcPr>
            <w:tcW w:type="dxa" w:w="1234"/>
          </w:tcPr>
          <w:p>
            <w:r>
              <w:rPr>
                <w:rFonts w:ascii="Calibri" w:hAnsi="Calibri"/>
                <w:sz w:val="22"/>
              </w:rPr>
              <w:t>N/A (FY vs. Q)</w:t>
            </w:r>
          </w:p>
        </w:tc>
      </w:tr>
      <w:tr>
        <w:tc>
          <w:tcPr>
            <w:tcW w:type="dxa" w:w="1234"/>
          </w:tcPr>
          <w:p>
            <w:r>
              <w:rPr>
                <w:rFonts w:ascii="Calibri" w:hAnsi="Calibri"/>
                <w:sz w:val="22"/>
              </w:rPr>
              <w:t>P&amp;IP (Vantage) Operating EPS</w:t>
            </w:r>
          </w:p>
        </w:tc>
        <w:tc>
          <w:tcPr>
            <w:tcW w:type="dxa" w:w="1234"/>
          </w:tcPr>
          <w:p>
            <w:r>
              <w:rPr>
                <w:rFonts w:ascii="Calibri" w:hAnsi="Calibri"/>
                <w:sz w:val="22"/>
              </w:rPr>
              <w:t>$0.23</w:t>
            </w:r>
          </w:p>
        </w:tc>
        <w:tc>
          <w:tcPr>
            <w:tcW w:type="dxa" w:w="1234"/>
          </w:tcPr>
          <w:p>
            <w:r>
              <w:rPr>
                <w:rFonts w:ascii="Calibri" w:hAnsi="Calibri"/>
                <w:sz w:val="22"/>
              </w:rPr>
              <w:t>$0.15</w:t>
            </w:r>
          </w:p>
        </w:tc>
        <w:tc>
          <w:tcPr>
            <w:tcW w:type="dxa" w:w="1234"/>
          </w:tcPr>
          <w:p>
            <w:r>
              <w:rPr>
                <w:rFonts w:ascii="Calibri" w:hAnsi="Calibri"/>
                <w:sz w:val="22"/>
              </w:rPr>
              <w:t>$0.20</w:t>
            </w:r>
          </w:p>
        </w:tc>
        <w:tc>
          <w:tcPr>
            <w:tcW w:type="dxa" w:w="1234"/>
          </w:tcPr>
          <w:p>
            <w:r>
              <w:rPr>
                <w:rFonts w:ascii="Calibri" w:hAnsi="Calibri"/>
                <w:sz w:val="22"/>
              </w:rPr>
              <w:t>+33.3%</w:t>
            </w:r>
          </w:p>
        </w:tc>
        <w:tc>
          <w:tcPr>
            <w:tcW w:type="dxa" w:w="1234"/>
          </w:tcPr>
          <w:p>
            <w:r>
              <w:rPr>
                <w:rFonts w:ascii="Calibri" w:hAnsi="Calibri"/>
                <w:sz w:val="22"/>
              </w:rPr>
              <w:t>$180–$190M segment</w:t>
            </w:r>
          </w:p>
        </w:tc>
        <w:tc>
          <w:tcPr>
            <w:tcW w:type="dxa" w:w="1234"/>
          </w:tcPr>
          <w:p>
            <w:r>
              <w:rPr>
                <w:rFonts w:ascii="Calibri" w:hAnsi="Calibri"/>
                <w:sz w:val="22"/>
              </w:rPr>
              <w:t>N/A (FY vs. Q)</w:t>
            </w:r>
          </w:p>
        </w:tc>
      </w:tr>
      <w:tr>
        <w:tc>
          <w:tcPr>
            <w:tcW w:type="dxa" w:w="1234"/>
          </w:tcPr>
          <w:p>
            <w:r>
              <w:rPr>
                <w:rFonts w:ascii="Calibri" w:hAnsi="Calibri"/>
                <w:sz w:val="22"/>
              </w:rPr>
              <w:t>Total Revenue</w:t>
            </w:r>
          </w:p>
        </w:tc>
        <w:tc>
          <w:tcPr>
            <w:tcW w:type="dxa" w:w="1234"/>
          </w:tcPr>
          <w:p>
            <w:r>
              <w:rPr>
                <w:rFonts w:ascii="Calibri" w:hAnsi="Calibri"/>
                <w:sz w:val="22"/>
              </w:rPr>
              <w:t>$5.14B</w:t>
            </w:r>
          </w:p>
        </w:tc>
        <w:tc>
          <w:tcPr>
            <w:tcW w:type="dxa" w:w="1234"/>
          </w:tcPr>
          <w:p>
            <w:r>
              <w:rPr>
                <w:rFonts w:ascii="Calibri" w:hAnsi="Calibri"/>
                <w:sz w:val="22"/>
              </w:rPr>
              <w:t>$3.42B</w:t>
            </w:r>
          </w:p>
        </w:tc>
        <w:tc>
          <w:tcPr>
            <w:tcW w:type="dxa" w:w="1234"/>
          </w:tcPr>
          <w:p>
            <w:r>
              <w:rPr>
                <w:rFonts w:ascii="Calibri" w:hAnsi="Calibri"/>
                <w:sz w:val="22"/>
              </w:rPr>
              <w:t>$3.37B</w:t>
            </w:r>
          </w:p>
        </w:tc>
        <w:tc>
          <w:tcPr>
            <w:tcW w:type="dxa" w:w="1234"/>
          </w:tcPr>
          <w:p>
            <w:r>
              <w:rPr>
                <w:rFonts w:ascii="Calibri" w:hAnsi="Calibri"/>
                <w:sz w:val="22"/>
              </w:rPr>
              <w:t>−1.5%</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Total CapEx</w:t>
            </w:r>
          </w:p>
        </w:tc>
        <w:tc>
          <w:tcPr>
            <w:tcW w:type="dxa" w:w="1234"/>
          </w:tcPr>
          <w:p>
            <w:r>
              <w:rPr>
                <w:rFonts w:ascii="Calibri" w:hAnsi="Calibri"/>
                <w:sz w:val="22"/>
              </w:rPr>
              <w:t>$1.46B</w:t>
            </w:r>
          </w:p>
        </w:tc>
        <w:tc>
          <w:tcPr>
            <w:tcW w:type="dxa" w:w="1234"/>
          </w:tcPr>
          <w:p>
            <w:r>
              <w:rPr>
                <w:rFonts w:ascii="Calibri" w:hAnsi="Calibri"/>
                <w:sz w:val="22"/>
              </w:rPr>
              <w:t>$0.97B</w:t>
            </w:r>
          </w:p>
        </w:tc>
        <w:tc>
          <w:tcPr>
            <w:tcW w:type="dxa" w:w="1234"/>
          </w:tcPr>
          <w:p>
            <w:r>
              <w:rPr>
                <w:rFonts w:ascii="Calibri" w:hAnsi="Calibri"/>
                <w:sz w:val="22"/>
              </w:rPr>
              <w:t>$1.96B (consensus)</w:t>
            </w:r>
          </w:p>
        </w:tc>
        <w:tc>
          <w:tcPr>
            <w:tcW w:type="dxa" w:w="1234"/>
          </w:tcPr>
          <w:p>
            <w:r>
              <w:rPr>
                <w:rFonts w:ascii="Calibri" w:hAnsi="Calibri"/>
                <w:sz w:val="22"/>
              </w:rPr>
              <w:t>+101.5%</w:t>
            </w:r>
          </w:p>
        </w:tc>
        <w:tc>
          <w:tcPr>
            <w:tcW w:type="dxa" w:w="1234"/>
          </w:tcPr>
          <w:p>
            <w:r>
              <w:rPr>
                <w:rFonts w:ascii="Calibri" w:hAnsi="Calibri"/>
                <w:sz w:val="22"/>
              </w:rPr>
              <w:t>$6.72–$6.82B FY</w:t>
            </w:r>
          </w:p>
        </w:tc>
        <w:tc>
          <w:tcPr>
            <w:tcW w:type="dxa" w:w="1234"/>
          </w:tcPr>
          <w:p>
            <w:r>
              <w:rPr>
                <w:rFonts w:ascii="Calibri" w:hAnsi="Calibri"/>
                <w:sz w:val="22"/>
              </w:rPr>
              <w:t>~+14% above FY mid/4</w:t>
            </w:r>
          </w:p>
        </w:tc>
      </w:tr>
      <w:tr>
        <w:tc>
          <w:tcPr>
            <w:tcW w:type="dxa" w:w="1234"/>
          </w:tcPr>
          <w:p>
            <w:r>
              <w:rPr>
                <w:rFonts w:ascii="Calibri" w:hAnsi="Calibri"/>
                <w:sz w:val="22"/>
              </w:rPr>
              <w:t>FFO / Total Debt</w:t>
            </w:r>
          </w:p>
        </w:tc>
        <w:tc>
          <w:tcPr>
            <w:tcW w:type="dxa" w:w="1234"/>
          </w:tcPr>
          <w:p>
            <w:r>
              <w:rPr>
                <w:rFonts w:ascii="Calibri" w:hAnsi="Calibri"/>
                <w:sz w:val="22"/>
              </w:rPr>
              <w:t>~12.3% (Q1 2026)</w:t>
            </w:r>
          </w:p>
        </w:tc>
        <w:tc>
          <w:tcPr>
            <w:tcW w:type="dxa" w:w="1234"/>
          </w:tcPr>
          <w:p>
            <w:r>
              <w:rPr>
                <w:rFonts w:ascii="Calibri" w:hAnsi="Calibri"/>
                <w:sz w:val="22"/>
              </w:rPr>
              <w:t>~12.6% (Q2 2025)</w:t>
            </w:r>
          </w:p>
        </w:tc>
        <w:tc>
          <w:tcPr>
            <w:tcW w:type="dxa" w:w="1234"/>
          </w:tcPr>
          <w:p>
            <w:r>
              <w:rPr>
                <w:rFonts w:ascii="Calibri" w:hAnsi="Calibri"/>
                <w:sz w:val="22"/>
              </w:rPr>
              <w:t>~12.7% (consensus)</w:t>
            </w:r>
          </w:p>
        </w:tc>
        <w:tc>
          <w:tcPr>
            <w:tcW w:type="dxa" w:w="1234"/>
          </w:tcPr>
          <w:p>
            <w:r>
              <w:rPr>
                <w:rFonts w:ascii="Calibri" w:hAnsi="Calibri"/>
                <w:sz w:val="22"/>
              </w:rPr>
              <w:t>+10 bps</w:t>
            </w:r>
          </w:p>
        </w:tc>
        <w:tc>
          <w:tcPr>
            <w:tcW w:type="dxa" w:w="1234"/>
          </w:tcPr>
          <w:p>
            <w:r>
              <w:rPr>
                <w:rFonts w:ascii="Calibri" w:hAnsi="Calibri"/>
                <w:sz w:val="22"/>
              </w:rPr>
              <w:t>~15% target (long-term)</w:t>
            </w:r>
          </w:p>
        </w:tc>
        <w:tc>
          <w:tcPr>
            <w:tcW w:type="dxa" w:w="1234"/>
          </w:tcPr>
          <w:p>
            <w:r>
              <w:rPr>
                <w:rFonts w:ascii="Calibri" w:hAnsi="Calibri"/>
                <w:sz w:val="22"/>
              </w:rPr>
              <w:t>Below target; improving</w:t>
            </w:r>
          </w:p>
        </w:tc>
      </w:tr>
    </w:tbl>
    <w:p>
      <w:r>
        <w:rPr>
          <w:rFonts w:ascii="Calibri" w:hAnsi="Calibri"/>
          <w:i/>
          <w:color w:val="525866"/>
          <w:sz w:val="22"/>
        </w:rPr>
        <w:t>Sources: Visible Alpha Consensus and Actuals Data; DTE Q1 2026 Earnings Call (April 30, 2026); DTE May 2026 Investor Presentation (8-K EX-99.1). All VA-sourced figures cited per Visible Alpha dataset.</w:t>
      </w:r>
    </w:p>
    <w:p>
      <w:pPr>
        <w:pStyle w:val="Heading3"/>
      </w:pPr>
      <w:r>
        <w:rPr>
          <w:rFonts w:ascii="Calibri" w:hAnsi="Calibri"/>
          <w:b/>
          <w:color w:val="3B4259"/>
          <w:sz w:val="24"/>
        </w:rPr>
        <w:t>Table 2 — Beat/Miss History (Last 8 Quarters, Top 2 KPIs)</w:t>
      </w:r>
    </w:p>
    <w:p>
      <w:r>
        <w:rPr>
          <w:rFonts w:ascii="Calibri" w:hAnsi="Calibri"/>
          <w:b/>
          <w:color w:val="525866"/>
          <w:sz w:val="22"/>
        </w:rPr>
        <w:t xml:space="preserve">Top 2 KPIs: </w:t>
      </w:r>
      <w:r>
        <w:rPr>
          <w:rFonts w:ascii="Calibri" w:hAnsi="Calibri"/>
          <w:color w:val="525866"/>
          <w:sz w:val="22"/>
        </w:rPr>
        <w:t>Operating EPS (Diluted) and Electric Segment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$1.95</w:t>
            </w:r>
          </w:p>
        </w:tc>
        <w:tc>
          <w:tcPr>
            <w:tcW w:type="dxa" w:w="1440"/>
          </w:tcPr>
          <w:p>
            <w:r>
              <w:rPr>
                <w:rFonts w:ascii="Calibri" w:hAnsi="Calibri"/>
                <w:sz w:val="22"/>
              </w:rPr>
              <w:t>$2.07</w:t>
            </w:r>
          </w:p>
        </w:tc>
        <w:tc>
          <w:tcPr>
            <w:tcW w:type="dxa" w:w="1440"/>
          </w:tcPr>
          <w:p>
            <w:r>
              <w:rPr>
                <w:rFonts w:ascii="Calibri" w:hAnsi="Calibri"/>
                <w:b/>
                <w:color w:val="E5484D"/>
                <w:sz w:val="22"/>
              </w:rPr>
              <w:t>−5.8%</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Electric EPS</w:t>
            </w:r>
          </w:p>
        </w:tc>
        <w:tc>
          <w:tcPr>
            <w:tcW w:type="dxa" w:w="1440"/>
          </w:tcPr>
          <w:p>
            <w:r>
              <w:rPr>
                <w:rFonts w:ascii="Calibri" w:hAnsi="Calibri"/>
                <w:sz w:val="22"/>
              </w:rPr>
              <w:t>$1.04</w:t>
            </w:r>
          </w:p>
        </w:tc>
        <w:tc>
          <w:tcPr>
            <w:tcW w:type="dxa" w:w="1440"/>
          </w:tcPr>
          <w:p>
            <w:r>
              <w:rPr>
                <w:rFonts w:ascii="Calibri" w:hAnsi="Calibri"/>
                <w:sz w:val="22"/>
              </w:rPr>
              <w:t>$0.92</w:t>
            </w:r>
          </w:p>
        </w:tc>
        <w:tc>
          <w:tcPr>
            <w:tcW w:type="dxa" w:w="1440"/>
          </w:tcPr>
          <w:p>
            <w:r>
              <w:rPr>
                <w:rFonts w:ascii="Calibri" w:hAnsi="Calibri"/>
                <w:b/>
                <w:color w:val="30A46C"/>
                <w:sz w:val="22"/>
              </w:rPr>
              <w:t>+12.9%</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$1.65</w:t>
            </w:r>
          </w:p>
        </w:tc>
        <w:tc>
          <w:tcPr>
            <w:tcW w:type="dxa" w:w="1440"/>
          </w:tcPr>
          <w:p>
            <w:r>
              <w:rPr>
                <w:rFonts w:ascii="Calibri" w:hAnsi="Calibri"/>
                <w:sz w:val="22"/>
              </w:rPr>
              <w:t>$1.52</w:t>
            </w:r>
          </w:p>
        </w:tc>
        <w:tc>
          <w:tcPr>
            <w:tcW w:type="dxa" w:w="1440"/>
          </w:tcPr>
          <w:p>
            <w:r>
              <w:rPr>
                <w:rFonts w:ascii="Calibri" w:hAnsi="Calibri"/>
                <w:b/>
                <w:color w:val="30A46C"/>
                <w:sz w:val="22"/>
              </w:rPr>
              <w:t>+8.6%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Electric EPS</w:t>
            </w:r>
          </w:p>
        </w:tc>
        <w:tc>
          <w:tcPr>
            <w:tcW w:type="dxa" w:w="1440"/>
          </w:tcPr>
          <w:p>
            <w:r>
              <w:rPr>
                <w:rFonts w:ascii="Calibri" w:hAnsi="Calibri"/>
                <w:sz w:val="22"/>
              </w:rPr>
              <w:t>$1.01</w:t>
            </w:r>
          </w:p>
        </w:tc>
        <w:tc>
          <w:tcPr>
            <w:tcW w:type="dxa" w:w="1440"/>
          </w:tcPr>
          <w:p>
            <w:r>
              <w:rPr>
                <w:rFonts w:ascii="Calibri" w:hAnsi="Calibri"/>
                <w:sz w:val="22"/>
              </w:rPr>
              <w:t>$0.89</w:t>
            </w:r>
          </w:p>
        </w:tc>
        <w:tc>
          <w:tcPr>
            <w:tcW w:type="dxa" w:w="1440"/>
          </w:tcPr>
          <w:p>
            <w:r>
              <w:rPr>
                <w:rFonts w:ascii="Calibri" w:hAnsi="Calibri"/>
                <w:b/>
                <w:color w:val="30A46C"/>
                <w:sz w:val="22"/>
              </w:rPr>
              <w:t>+13.5%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$2.25</w:t>
            </w:r>
          </w:p>
        </w:tc>
        <w:tc>
          <w:tcPr>
            <w:tcW w:type="dxa" w:w="1440"/>
          </w:tcPr>
          <w:p>
            <w:r>
              <w:rPr>
                <w:rFonts w:ascii="Calibri" w:hAnsi="Calibri"/>
                <w:sz w:val="22"/>
              </w:rPr>
              <w:t>$2.15</w:t>
            </w:r>
          </w:p>
        </w:tc>
        <w:tc>
          <w:tcPr>
            <w:tcW w:type="dxa" w:w="1440"/>
          </w:tcPr>
          <w:p>
            <w:r>
              <w:rPr>
                <w:rFonts w:ascii="Calibri" w:hAnsi="Calibri"/>
                <w:b/>
                <w:color w:val="30A46C"/>
                <w:sz w:val="22"/>
              </w:rPr>
              <w:t>+4.7%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Electric EPS</w:t>
            </w:r>
          </w:p>
        </w:tc>
        <w:tc>
          <w:tcPr>
            <w:tcW w:type="dxa" w:w="1440"/>
          </w:tcPr>
          <w:p>
            <w:r>
              <w:rPr>
                <w:rFonts w:ascii="Calibri" w:hAnsi="Calibri"/>
                <w:sz w:val="22"/>
              </w:rPr>
              <w:t>$2.61</w:t>
            </w:r>
          </w:p>
        </w:tc>
        <w:tc>
          <w:tcPr>
            <w:tcW w:type="dxa" w:w="1440"/>
          </w:tcPr>
          <w:p>
            <w:r>
              <w:rPr>
                <w:rFonts w:ascii="Calibri" w:hAnsi="Calibri"/>
                <w:sz w:val="22"/>
              </w:rPr>
              <w:t>$2.66</w:t>
            </w:r>
          </w:p>
        </w:tc>
        <w:tc>
          <w:tcPr>
            <w:tcW w:type="dxa" w:w="1440"/>
          </w:tcPr>
          <w:p>
            <w:r>
              <w:rPr>
                <w:rFonts w:ascii="Calibri" w:hAnsi="Calibri"/>
                <w:b/>
                <w:color w:val="E5484D"/>
                <w:sz w:val="22"/>
              </w:rPr>
              <w:t>−1.9%</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$1.36</w:t>
            </w:r>
          </w:p>
        </w:tc>
        <w:tc>
          <w:tcPr>
            <w:tcW w:type="dxa" w:w="1440"/>
          </w:tcPr>
          <w:p>
            <w:r>
              <w:rPr>
                <w:rFonts w:ascii="Calibri" w:hAnsi="Calibri"/>
                <w:sz w:val="22"/>
              </w:rPr>
              <w:t>$1.34</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Electric EPS</w:t>
            </w:r>
          </w:p>
        </w:tc>
        <w:tc>
          <w:tcPr>
            <w:tcW w:type="dxa" w:w="1440"/>
          </w:tcPr>
          <w:p>
            <w:r>
              <w:rPr>
                <w:rFonts w:ascii="Calibri" w:hAnsi="Calibri"/>
                <w:sz w:val="22"/>
              </w:rPr>
              <w:t>$1.53</w:t>
            </w:r>
          </w:p>
        </w:tc>
        <w:tc>
          <w:tcPr>
            <w:tcW w:type="dxa" w:w="1440"/>
          </w:tcPr>
          <w:p>
            <w:r>
              <w:rPr>
                <w:rFonts w:ascii="Calibri" w:hAnsi="Calibri"/>
                <w:sz w:val="22"/>
              </w:rPr>
              <w:t>$1.50</w:t>
            </w:r>
          </w:p>
        </w:tc>
        <w:tc>
          <w:tcPr>
            <w:tcW w:type="dxa" w:w="1440"/>
          </w:tcPr>
          <w:p>
            <w:r>
              <w:rPr>
                <w:rFonts w:ascii="Calibri" w:hAnsi="Calibri"/>
                <w:b/>
                <w:color w:val="30A46C"/>
                <w:sz w:val="22"/>
              </w:rPr>
              <w:t>+2.0%</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$2.10</w:t>
            </w:r>
          </w:p>
        </w:tc>
        <w:tc>
          <w:tcPr>
            <w:tcW w:type="dxa" w:w="1440"/>
          </w:tcPr>
          <w:p>
            <w:r>
              <w:rPr>
                <w:rFonts w:ascii="Calibri" w:hAnsi="Calibri"/>
                <w:sz w:val="22"/>
              </w:rPr>
              <w:t>$1.93</w:t>
            </w:r>
          </w:p>
        </w:tc>
        <w:tc>
          <w:tcPr>
            <w:tcW w:type="dxa" w:w="1440"/>
          </w:tcPr>
          <w:p>
            <w:r>
              <w:rPr>
                <w:rFonts w:ascii="Calibri" w:hAnsi="Calibri"/>
                <w:b/>
                <w:color w:val="30A46C"/>
                <w:sz w:val="22"/>
              </w:rPr>
              <w:t>+8.8%</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Electric EPS</w:t>
            </w:r>
          </w:p>
        </w:tc>
        <w:tc>
          <w:tcPr>
            <w:tcW w:type="dxa" w:w="1440"/>
          </w:tcPr>
          <w:p>
            <w:r>
              <w:rPr>
                <w:rFonts w:ascii="Calibri" w:hAnsi="Calibri"/>
                <w:sz w:val="22"/>
              </w:rPr>
              <w:t>$0.71</w:t>
            </w:r>
          </w:p>
        </w:tc>
        <w:tc>
          <w:tcPr>
            <w:tcW w:type="dxa" w:w="1440"/>
          </w:tcPr>
          <w:p>
            <w:r>
              <w:rPr>
                <w:rFonts w:ascii="Calibri" w:hAnsi="Calibri"/>
                <w:sz w:val="22"/>
              </w:rPr>
              <w:t>$0.87</w:t>
            </w:r>
          </w:p>
        </w:tc>
        <w:tc>
          <w:tcPr>
            <w:tcW w:type="dxa" w:w="1440"/>
          </w:tcPr>
          <w:p>
            <w:r>
              <w:rPr>
                <w:rFonts w:ascii="Calibri" w:hAnsi="Calibri"/>
                <w:b/>
                <w:color w:val="E5484D"/>
                <w:sz w:val="22"/>
              </w:rPr>
              <w:t>−18.4%</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$1.51</w:t>
            </w:r>
          </w:p>
        </w:tc>
        <w:tc>
          <w:tcPr>
            <w:tcW w:type="dxa" w:w="1440"/>
          </w:tcPr>
          <w:p>
            <w:r>
              <w:rPr>
                <w:rFonts w:ascii="Calibri" w:hAnsi="Calibri"/>
                <w:sz w:val="22"/>
              </w:rPr>
              <w:t>$1.49</w:t>
            </w:r>
          </w:p>
        </w:tc>
        <w:tc>
          <w:tcPr>
            <w:tcW w:type="dxa" w:w="1440"/>
          </w:tcPr>
          <w:p>
            <w:r>
              <w:rPr>
                <w:rFonts w:ascii="Calibri" w:hAnsi="Calibri"/>
                <w:b/>
                <w:color w:val="30A46C"/>
                <w:sz w:val="22"/>
              </w:rPr>
              <w:t>+1.3%</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Electric EPS</w:t>
            </w:r>
          </w:p>
        </w:tc>
        <w:tc>
          <w:tcPr>
            <w:tcW w:type="dxa" w:w="1440"/>
          </w:tcPr>
          <w:p>
            <w:r>
              <w:rPr>
                <w:rFonts w:ascii="Calibri" w:hAnsi="Calibri"/>
                <w:sz w:val="22"/>
              </w:rPr>
              <w:t>$0.94</w:t>
            </w:r>
          </w:p>
        </w:tc>
        <w:tc>
          <w:tcPr>
            <w:tcW w:type="dxa" w:w="1440"/>
          </w:tcPr>
          <w:p>
            <w:r>
              <w:rPr>
                <w:rFonts w:ascii="Calibri" w:hAnsi="Calibri"/>
                <w:sz w:val="22"/>
              </w:rPr>
              <w:t>$0.96</w:t>
            </w:r>
          </w:p>
        </w:tc>
        <w:tc>
          <w:tcPr>
            <w:tcW w:type="dxa" w:w="1440"/>
          </w:tcPr>
          <w:p>
            <w:r>
              <w:rPr>
                <w:rFonts w:ascii="Calibri" w:hAnsi="Calibri"/>
                <w:b/>
                <w:color w:val="E5484D"/>
                <w:sz w:val="22"/>
              </w:rPr>
              <w:t>−2.1%</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$2.22</w:t>
            </w:r>
          </w:p>
        </w:tc>
        <w:tc>
          <w:tcPr>
            <w:tcW w:type="dxa" w:w="1440"/>
          </w:tcPr>
          <w:p>
            <w:r>
              <w:rPr>
                <w:rFonts w:ascii="Calibri" w:hAnsi="Calibri"/>
                <w:sz w:val="22"/>
              </w:rPr>
              <w:t>$1.86</w:t>
            </w:r>
          </w:p>
        </w:tc>
        <w:tc>
          <w:tcPr>
            <w:tcW w:type="dxa" w:w="1440"/>
          </w:tcPr>
          <w:p>
            <w:r>
              <w:rPr>
                <w:rFonts w:ascii="Calibri" w:hAnsi="Calibri"/>
                <w:b/>
                <w:color w:val="30A46C"/>
                <w:sz w:val="22"/>
              </w:rPr>
              <w:t>+19.3%</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Electric EPS</w:t>
            </w:r>
          </w:p>
        </w:tc>
        <w:tc>
          <w:tcPr>
            <w:tcW w:type="dxa" w:w="1440"/>
          </w:tcPr>
          <w:p>
            <w:r>
              <w:rPr>
                <w:rFonts w:ascii="Calibri" w:hAnsi="Calibri"/>
                <w:sz w:val="22"/>
              </w:rPr>
              <w:t>$2.11</w:t>
            </w:r>
          </w:p>
        </w:tc>
        <w:tc>
          <w:tcPr>
            <w:tcW w:type="dxa" w:w="1440"/>
          </w:tcPr>
          <w:p>
            <w:r>
              <w:rPr>
                <w:rFonts w:ascii="Calibri" w:hAnsi="Calibri"/>
                <w:sz w:val="22"/>
              </w:rPr>
              <w:t>$1.92</w:t>
            </w:r>
          </w:p>
        </w:tc>
        <w:tc>
          <w:tcPr>
            <w:tcW w:type="dxa" w:w="1440"/>
          </w:tcPr>
          <w:p>
            <w:r>
              <w:rPr>
                <w:rFonts w:ascii="Calibri" w:hAnsi="Calibri"/>
                <w:b/>
                <w:color w:val="30A46C"/>
                <w:sz w:val="22"/>
              </w:rPr>
              <w:t>+9.9%</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$1.43</w:t>
            </w:r>
          </w:p>
        </w:tc>
        <w:tc>
          <w:tcPr>
            <w:tcW w:type="dxa" w:w="1440"/>
          </w:tcPr>
          <w:p>
            <w:r>
              <w:rPr>
                <w:rFonts w:ascii="Calibri" w:hAnsi="Calibri"/>
                <w:sz w:val="22"/>
              </w:rPr>
              <w:t>$1.13</w:t>
            </w:r>
          </w:p>
        </w:tc>
        <w:tc>
          <w:tcPr>
            <w:tcW w:type="dxa" w:w="1440"/>
          </w:tcPr>
          <w:p>
            <w:r>
              <w:rPr>
                <w:rFonts w:ascii="Calibri" w:hAnsi="Calibri"/>
                <w:b/>
                <w:color w:val="30A46C"/>
                <w:sz w:val="22"/>
              </w:rPr>
              <w:t>+26.5%</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Electric EPS</w:t>
            </w:r>
          </w:p>
        </w:tc>
        <w:tc>
          <w:tcPr>
            <w:tcW w:type="dxa" w:w="1440"/>
          </w:tcPr>
          <w:p>
            <w:r>
              <w:rPr>
                <w:rFonts w:ascii="Calibri" w:hAnsi="Calibri"/>
                <w:sz w:val="22"/>
              </w:rPr>
              <w:t>$1.35</w:t>
            </w:r>
          </w:p>
        </w:tc>
        <w:tc>
          <w:tcPr>
            <w:tcW w:type="dxa" w:w="1440"/>
          </w:tcPr>
          <w:p>
            <w:r>
              <w:rPr>
                <w:rFonts w:ascii="Calibri" w:hAnsi="Calibri"/>
                <w:sz w:val="22"/>
              </w:rPr>
              <w:t>$1.15</w:t>
            </w:r>
          </w:p>
        </w:tc>
        <w:tc>
          <w:tcPr>
            <w:tcW w:type="dxa" w:w="1440"/>
          </w:tcPr>
          <w:p>
            <w:r>
              <w:rPr>
                <w:rFonts w:ascii="Calibri" w:hAnsi="Calibri"/>
                <w:b/>
                <w:color w:val="30A46C"/>
                <w:sz w:val="22"/>
              </w:rPr>
              <w:t>+17.4%</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DTE has beaten Operating EPS consensus in 7 of the last 8 quarters, with the sole miss in Q1 2026 driven by energy trading timing rather than utility weakness; the Electric segment has beaten in 5 of 8 quarters, with misses concentrated in seasonally weak Q1 periods. The Q2 bar is historically easy — DTE beat Q2 2024 consensus by 26.5%.</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2026 guidance of </w:t>
      </w:r>
      <w:r>
        <w:rPr>
          <w:rFonts w:ascii="Calibri" w:hAnsi="Calibri"/>
          <w:b/>
          <w:color w:val="525866"/>
          <w:sz w:val="22"/>
        </w:rPr>
        <w:t>$7.59–$7.73 Operating EPS</w:t>
      </w:r>
      <w:r>
        <w:rPr>
          <w:rFonts w:ascii="Calibri" w:hAnsi="Calibri"/>
          <w:color w:val="525866"/>
          <w:sz w:val="22"/>
        </w:rPr>
        <w:t xml:space="preserve"> is unchanged since the Q4 2025 earnings call (February 17, 2026) and was reaffirmed at the May 15 investor meeting; management's tone has been consistently confident in achieving the </w:t>
      </w:r>
      <w:r>
        <w:rPr>
          <w:rFonts w:ascii="Calibri" w:hAnsi="Calibri"/>
          <w:b/>
          <w:color w:val="525866"/>
          <w:sz w:val="22"/>
        </w:rPr>
        <w:t>high end of the range</w:t>
      </w:r>
      <w:r>
        <w:rPr>
          <w:rFonts w:ascii="Calibri" w:hAnsi="Calibri"/>
          <w:color w:val="525866"/>
          <w:sz w:val="22"/>
        </w:rPr>
        <w:t xml:space="preserve"> driven by 45Z RNG tax credit flexibility, with no post-earnings guidance revision.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Operating EPS</w:t>
            </w:r>
          </w:p>
        </w:tc>
        <w:tc>
          <w:tcPr>
            <w:tcW w:type="dxa" w:w="1728"/>
          </w:tcPr>
          <w:p>
            <w:r>
              <w:rPr>
                <w:rFonts w:ascii="Calibri" w:hAnsi="Calibri"/>
                <w:sz w:val="22"/>
              </w:rPr>
              <w:t>$7.59–$7.73 (midpoint $7.66); confident in high end</w:t>
            </w:r>
          </w:p>
        </w:tc>
        <w:tc>
          <w:tcPr>
            <w:tcW w:type="dxa" w:w="1728"/>
          </w:tcPr>
          <w:p>
            <w:r>
              <w:rPr>
                <w:rFonts w:ascii="Calibri" w:hAnsi="Calibri"/>
                <w:sz w:val="22"/>
              </w:rPr>
              <w:t>— Unchanged</w:t>
            </w:r>
          </w:p>
        </w:tc>
        <w:tc>
          <w:tcPr>
            <w:tcW w:type="dxa" w:w="1728"/>
          </w:tcPr>
          <w:p>
            <w:r>
              <w:rPr>
                <w:rFonts w:ascii="Calibri" w:hAnsi="Calibri"/>
                <w:sz w:val="22"/>
              </w:rPr>
              <w:t>$7.71</w:t>
            </w:r>
          </w:p>
        </w:tc>
        <w:tc>
          <w:tcPr>
            <w:tcW w:type="dxa" w:w="1728"/>
          </w:tcPr>
          <w:p>
            <w:r>
              <w:rPr>
                <w:rFonts w:ascii="Calibri" w:hAnsi="Calibri"/>
                <w:sz w:val="22"/>
              </w:rPr>
              <w:t>Reaffirmed at May 15 investor meeting; tone unchanged — high-end confidence driven by RNG tax credits</w:t>
            </w:r>
          </w:p>
        </w:tc>
      </w:tr>
      <w:tr>
        <w:tc>
          <w:tcPr>
            <w:tcW w:type="dxa" w:w="1728"/>
          </w:tcPr>
          <w:p>
            <w:r>
              <w:rPr>
                <w:rFonts w:ascii="Calibri" w:hAnsi="Calibri"/>
                <w:sz w:val="22"/>
              </w:rPr>
              <w:t>DTE Electric Segment (FY 2026)</w:t>
            </w:r>
          </w:p>
        </w:tc>
        <w:tc>
          <w:tcPr>
            <w:tcW w:type="dxa" w:w="1728"/>
          </w:tcPr>
          <w:p>
            <w:r>
              <w:rPr>
                <w:rFonts w:ascii="Calibri" w:hAnsi="Calibri"/>
                <w:sz w:val="22"/>
              </w:rPr>
              <w:t>$1,340–$1,360M operating earnings</w:t>
            </w:r>
          </w:p>
        </w:tc>
        <w:tc>
          <w:tcPr>
            <w:tcW w:type="dxa" w:w="1728"/>
          </w:tcPr>
          <w:p>
            <w:r>
              <w:rPr>
                <w:rFonts w:ascii="Calibri" w:hAnsi="Calibri"/>
                <w:sz w:val="22"/>
              </w:rPr>
              <w:t>— Unchanged</w:t>
            </w:r>
          </w:p>
        </w:tc>
        <w:tc>
          <w:tcPr>
            <w:tcW w:type="dxa" w:w="1728"/>
          </w:tcPr>
          <w:p>
            <w:r>
              <w:rPr>
                <w:rFonts w:ascii="Calibri" w:hAnsi="Calibri"/>
                <w:sz w:val="22"/>
              </w:rPr>
              <w:t>$6.13 Electric EPS (FY)</w:t>
            </w:r>
          </w:p>
        </w:tc>
        <w:tc>
          <w:tcPr>
            <w:tcW w:type="dxa" w:w="1728"/>
          </w:tcPr>
          <w:p>
            <w:r>
              <w:rPr>
                <w:rFonts w:ascii="Calibri" w:hAnsi="Calibri"/>
                <w:sz w:val="22"/>
              </w:rPr>
              <w:t>No change; Oracle grid connection expected by end of 2026 is key execution milestone</w:t>
            </w:r>
          </w:p>
        </w:tc>
      </w:tr>
      <w:tr>
        <w:tc>
          <w:tcPr>
            <w:tcW w:type="dxa" w:w="1728"/>
          </w:tcPr>
          <w:p>
            <w:r>
              <w:rPr>
                <w:rFonts w:ascii="Calibri" w:hAnsi="Calibri"/>
                <w:sz w:val="22"/>
              </w:rPr>
              <w:t>DTE Gas Segment (FY 2026)</w:t>
            </w:r>
          </w:p>
        </w:tc>
        <w:tc>
          <w:tcPr>
            <w:tcW w:type="dxa" w:w="1728"/>
          </w:tcPr>
          <w:p>
            <w:r>
              <w:rPr>
                <w:rFonts w:ascii="Calibri" w:hAnsi="Calibri"/>
                <w:sz w:val="22"/>
              </w:rPr>
              <w:t>$315–$325M operating earnings</w:t>
            </w:r>
          </w:p>
        </w:tc>
        <w:tc>
          <w:tcPr>
            <w:tcW w:type="dxa" w:w="1728"/>
          </w:tcPr>
          <w:p>
            <w:r>
              <w:rPr>
                <w:rFonts w:ascii="Calibri" w:hAnsi="Calibri"/>
                <w:sz w:val="22"/>
              </w:rPr>
              <w:t>— Unchanged</w:t>
            </w:r>
          </w:p>
        </w:tc>
        <w:tc>
          <w:tcPr>
            <w:tcW w:type="dxa" w:w="1728"/>
          </w:tcPr>
          <w:p>
            <w:r>
              <w:rPr>
                <w:rFonts w:ascii="Calibri" w:hAnsi="Calibri"/>
                <w:sz w:val="22"/>
              </w:rPr>
              <w:t>$1.55 Gas EPS (FY)</w:t>
            </w:r>
          </w:p>
        </w:tc>
        <w:tc>
          <w:tcPr>
            <w:tcW w:type="dxa" w:w="1728"/>
          </w:tcPr>
          <w:p>
            <w:r>
              <w:rPr>
                <w:rFonts w:ascii="Calibri" w:hAnsi="Calibri"/>
                <w:sz w:val="22"/>
              </w:rPr>
              <w:t>No change</w:t>
            </w:r>
          </w:p>
        </w:tc>
      </w:tr>
      <w:tr>
        <w:tc>
          <w:tcPr>
            <w:tcW w:type="dxa" w:w="1728"/>
          </w:tcPr>
          <w:p>
            <w:r>
              <w:rPr>
                <w:rFonts w:ascii="Calibri" w:hAnsi="Calibri"/>
                <w:sz w:val="22"/>
              </w:rPr>
              <w:t>Energy Trading Segment (FY 2026)</w:t>
            </w:r>
          </w:p>
        </w:tc>
        <w:tc>
          <w:tcPr>
            <w:tcW w:type="dxa" w:w="1728"/>
          </w:tcPr>
          <w:p>
            <w:r>
              <w:rPr>
                <w:rFonts w:ascii="Calibri" w:hAnsi="Calibri"/>
                <w:sz w:val="22"/>
              </w:rPr>
              <w:t>$50–$60M operating earnings; Q1 negative due to timing, expected to reverse</w:t>
            </w:r>
          </w:p>
        </w:tc>
        <w:tc>
          <w:tcPr>
            <w:tcW w:type="dxa" w:w="1728"/>
          </w:tcPr>
          <w:p>
            <w:r>
              <w:rPr>
                <w:rFonts w:ascii="Calibri" w:hAnsi="Calibri"/>
                <w:sz w:val="22"/>
              </w:rPr>
              <w:t>— Unchanged</w:t>
            </w:r>
          </w:p>
        </w:tc>
        <w:tc>
          <w:tcPr>
            <w:tcW w:type="dxa" w:w="1728"/>
          </w:tcPr>
          <w:p>
            <w:r>
              <w:rPr>
                <w:rFonts w:ascii="Calibri" w:hAnsi="Calibri"/>
                <w:sz w:val="22"/>
              </w:rPr>
              <w:t>$0.38 Trading EPS (FY)</w:t>
            </w:r>
          </w:p>
        </w:tc>
        <w:tc>
          <w:tcPr>
            <w:tcW w:type="dxa" w:w="1728"/>
          </w:tcPr>
          <w:p>
            <w:r>
              <w:rPr>
                <w:rFonts w:ascii="Calibri" w:hAnsi="Calibri"/>
                <w:sz w:val="22"/>
              </w:rPr>
              <w:t>Timing reversal is key Q2 swing factor; management explicit that Q1 shortfall was timing</w:t>
            </w:r>
          </w:p>
        </w:tc>
      </w:tr>
      <w:tr>
        <w:tc>
          <w:tcPr>
            <w:tcW w:type="dxa" w:w="1728"/>
          </w:tcPr>
          <w:p>
            <w:r>
              <w:rPr>
                <w:rFonts w:ascii="Calibri" w:hAnsi="Calibri"/>
                <w:sz w:val="22"/>
              </w:rPr>
              <w:t>DTE Vantage / P&amp;IP (FY 2026)</w:t>
            </w:r>
          </w:p>
        </w:tc>
        <w:tc>
          <w:tcPr>
            <w:tcW w:type="dxa" w:w="1728"/>
          </w:tcPr>
          <w:p>
            <w:r>
              <w:rPr>
                <w:rFonts w:ascii="Calibri" w:hAnsi="Calibri"/>
                <w:sz w:val="22"/>
              </w:rPr>
              <w:t>$180–$190M operating earnings; ~350 MW behind-the-meter DC deal in final stages</w:t>
            </w:r>
          </w:p>
        </w:tc>
        <w:tc>
          <w:tcPr>
            <w:tcW w:type="dxa" w:w="1728"/>
          </w:tcPr>
          <w:p>
            <w:r>
              <w:rPr>
                <w:rFonts w:ascii="Calibri" w:hAnsi="Calibri"/>
                <w:sz w:val="22"/>
              </w:rPr>
              <w:t>— Unchanged</w:t>
            </w:r>
          </w:p>
        </w:tc>
        <w:tc>
          <w:tcPr>
            <w:tcW w:type="dxa" w:w="1728"/>
          </w:tcPr>
          <w:p>
            <w:r>
              <w:rPr>
                <w:rFonts w:ascii="Calibri" w:hAnsi="Calibri"/>
                <w:sz w:val="22"/>
              </w:rPr>
              <w:t>$0.90 P&amp;IP EPS (FY)</w:t>
            </w:r>
          </w:p>
        </w:tc>
        <w:tc>
          <w:tcPr>
            <w:tcW w:type="dxa" w:w="1728"/>
          </w:tcPr>
          <w:p>
            <w:r>
              <w:rPr>
                <w:rFonts w:ascii="Calibri" w:hAnsi="Calibri"/>
                <w:sz w:val="22"/>
              </w:rPr>
              <w:t>Vantage DC deal expected to close “within weeks” as of Apr 30; any announcement would be incremental upside</w:t>
            </w:r>
          </w:p>
        </w:tc>
      </w:tr>
      <w:tr>
        <w:tc>
          <w:tcPr>
            <w:tcW w:type="dxa" w:w="1728"/>
          </w:tcPr>
          <w:p>
            <w:r>
              <w:rPr>
                <w:rFonts w:ascii="Calibri" w:hAnsi="Calibri"/>
                <w:sz w:val="22"/>
              </w:rPr>
              <w:t>FY 2026 Total CapEx</w:t>
            </w:r>
          </w:p>
        </w:tc>
        <w:tc>
          <w:tcPr>
            <w:tcW w:type="dxa" w:w="1728"/>
          </w:tcPr>
          <w:p>
            <w:r>
              <w:rPr>
                <w:rFonts w:ascii="Calibri" w:hAnsi="Calibri"/>
                <w:sz w:val="22"/>
              </w:rPr>
              <w:t>$6,720–$6,820M</w:t>
            </w:r>
          </w:p>
        </w:tc>
        <w:tc>
          <w:tcPr>
            <w:tcW w:type="dxa" w:w="1728"/>
          </w:tcPr>
          <w:p>
            <w:r>
              <w:rPr>
                <w:rFonts w:ascii="Calibri" w:hAnsi="Calibri"/>
                <w:sz w:val="22"/>
              </w:rPr>
              <w:t>— Unchanged</w:t>
            </w:r>
          </w:p>
        </w:tc>
        <w:tc>
          <w:tcPr>
            <w:tcW w:type="dxa" w:w="1728"/>
          </w:tcPr>
          <w:p>
            <w:r>
              <w:rPr>
                <w:rFonts w:ascii="Calibri" w:hAnsi="Calibri"/>
                <w:sz w:val="22"/>
              </w:rPr>
              <w:t>$6,807M</w:t>
            </w:r>
          </w:p>
        </w:tc>
        <w:tc>
          <w:tcPr>
            <w:tcW w:type="dxa" w:w="1728"/>
          </w:tcPr>
          <w:p>
            <w:r>
              <w:rPr>
                <w:rFonts w:ascii="Calibri" w:hAnsi="Calibri"/>
                <w:sz w:val="22"/>
              </w:rPr>
              <w:t>Consensus in line with guidance midpoint; Google deal could drive ~$5B incremental through 2032</w:t>
            </w:r>
          </w:p>
        </w:tc>
      </w:tr>
      <w:tr>
        <w:tc>
          <w:tcPr>
            <w:tcW w:type="dxa" w:w="1728"/>
          </w:tcPr>
          <w:p>
            <w:r>
              <w:rPr>
                <w:rFonts w:ascii="Calibri" w:hAnsi="Calibri"/>
                <w:sz w:val="22"/>
              </w:rPr>
              <w:t>Annual Equity Issuances</w:t>
            </w:r>
          </w:p>
        </w:tc>
        <w:tc>
          <w:tcPr>
            <w:tcW w:type="dxa" w:w="1728"/>
          </w:tcPr>
          <w:p>
            <w:r>
              <w:rPr>
                <w:rFonts w:ascii="Calibri" w:hAnsi="Calibri"/>
                <w:sz w:val="22"/>
              </w:rPr>
              <w:t>$500–$600M annually 2026–2028; &gt;$350M already priced via forward sale agreements</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Execution ahead of schedule; $1B debenture offering completed June 18, 2026</w:t>
            </w:r>
          </w:p>
        </w:tc>
      </w:tr>
      <w:tr>
        <w:tc>
          <w:tcPr>
            <w:tcW w:type="dxa" w:w="1728"/>
          </w:tcPr>
          <w:p>
            <w:r>
              <w:rPr>
                <w:rFonts w:ascii="Calibri" w:hAnsi="Calibri"/>
                <w:sz w:val="22"/>
              </w:rPr>
              <w:t>Long-Term EPS Growth</w:t>
            </w:r>
          </w:p>
        </w:tc>
        <w:tc>
          <w:tcPr>
            <w:tcW w:type="dxa" w:w="1728"/>
          </w:tcPr>
          <w:p>
            <w:r>
              <w:rPr>
                <w:rFonts w:ascii="Calibri" w:hAnsi="Calibri"/>
                <w:sz w:val="22"/>
              </w:rPr>
              <w:t>6–8% CAGR through 2030; bias toward upper end each year</w:t>
            </w:r>
          </w:p>
        </w:tc>
        <w:tc>
          <w:tcPr>
            <w:tcW w:type="dxa" w:w="1728"/>
          </w:tcPr>
          <w:p>
            <w:r>
              <w:rPr>
                <w:rFonts w:ascii="Calibri" w:hAnsi="Calibri"/>
                <w:sz w:val="22"/>
              </w:rPr>
              <w:t>— Unchanged</w:t>
            </w:r>
          </w:p>
        </w:tc>
        <w:tc>
          <w:tcPr>
            <w:tcW w:type="dxa" w:w="1728"/>
          </w:tcPr>
          <w:p>
            <w:r>
              <w:rPr>
                <w:rFonts w:ascii="Calibri" w:hAnsi="Calibri"/>
                <w:sz w:val="22"/>
              </w:rPr>
              <w:t>FY27E: $8.37</w:t>
            </w:r>
          </w:p>
        </w:tc>
        <w:tc>
          <w:tcPr>
            <w:tcW w:type="dxa" w:w="1728"/>
          </w:tcPr>
          <w:p>
            <w:r>
              <w:rPr>
                <w:rFonts w:ascii="Calibri" w:hAnsi="Calibri"/>
                <w:sz w:val="22"/>
              </w:rPr>
              <w:t>Google deal has potential to push CAGR to 8%; 3 GW total would push above 8%</w:t>
            </w:r>
          </w:p>
        </w:tc>
      </w:tr>
    </w:tbl>
    <w:p>
      <w:r>
        <w:rPr>
          <w:rFonts w:ascii="Calibri" w:hAnsi="Calibri"/>
          <w:i/>
          <w:color w:val="525866"/>
          <w:sz w:val="22"/>
        </w:rPr>
        <w:t>Sources: DTE Q1 2026 Earnings Call (April 30, 2026); DTE Q4 2025 Earnings Call (February 17, 2026); DTE 8-K / Investor Presentation (May 15, 2026); DTE 8-K (June 22, 2026); Visible Alpha Consensus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Operating EPS estimates have been </w:t>
      </w:r>
      <w:r>
        <w:rPr>
          <w:rFonts w:ascii="Calibri" w:hAnsi="Calibri"/>
          <w:b/>
          <w:color w:val="525866"/>
          <w:sz w:val="22"/>
        </w:rPr>
        <w:t>revised down sharply</w:t>
      </w:r>
      <w:r>
        <w:rPr>
          <w:rFonts w:ascii="Calibri" w:hAnsi="Calibri"/>
          <w:color w:val="525866"/>
          <w:sz w:val="22"/>
        </w:rPr>
        <w:t xml:space="preserve"> since the Q1 print — from $1.49 to $1.14 (−23.3%) — likely reflecting energy trading timing uncertainty, while FY 2026 estimates are essentially flat ($7.70 vs. $7.71), suggesting the Street is rotating weakness from Q2 into the back half rather than cutting the full year; this creates a </w:t>
      </w:r>
      <w:r>
        <w:rPr>
          <w:rFonts w:ascii="Calibri" w:hAnsi="Calibri"/>
          <w:b/>
          <w:color w:val="525866"/>
          <w:sz w:val="22"/>
        </w:rPr>
        <w:t>low Q2 bar with a high back-half implied recovery</w:t>
      </w:r>
      <w:r>
        <w:rPr>
          <w:rFonts w:ascii="Calibri" w:hAnsi="Calibri"/>
          <w:color w:val="525866"/>
          <w:sz w:val="22"/>
        </w:rPr>
        <w: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+5 Days Post Q1 Earnings (as of May 7,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$1.49</w:t>
            </w:r>
          </w:p>
        </w:tc>
        <w:tc>
          <w:tcPr>
            <w:tcW w:type="dxa" w:w="1080"/>
          </w:tcPr>
          <w:p>
            <w:r>
              <w:rPr>
                <w:rFonts w:ascii="Calibri" w:hAnsi="Calibri"/>
                <w:sz w:val="22"/>
              </w:rPr>
              <w:t>$1.14</w:t>
            </w:r>
          </w:p>
        </w:tc>
        <w:tc>
          <w:tcPr>
            <w:tcW w:type="dxa" w:w="1080"/>
          </w:tcPr>
          <w:p>
            <w:r>
              <w:rPr>
                <w:rFonts w:ascii="Calibri" w:hAnsi="Calibri"/>
                <w:b/>
                <w:color w:val="E5484D"/>
                <w:sz w:val="22"/>
              </w:rPr>
              <w:t>−23.3%</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$7.70</w:t>
            </w:r>
          </w:p>
        </w:tc>
        <w:tc>
          <w:tcPr>
            <w:tcW w:type="dxa" w:w="1080"/>
          </w:tcPr>
          <w:p>
            <w:r>
              <w:rPr>
                <w:rFonts w:ascii="Calibri" w:hAnsi="Calibri"/>
                <w:sz w:val="22"/>
              </w:rPr>
              <w:t>$7.71</w:t>
            </w:r>
          </w:p>
        </w:tc>
        <w:tc>
          <w:tcPr>
            <w:tcW w:type="dxa" w:w="1080"/>
          </w:tcPr>
          <w:p>
            <w:r>
              <w:rPr>
                <w:rFonts w:ascii="Calibri" w:hAnsi="Calibri"/>
                <w:b/>
                <w:color w:val="30A46C"/>
                <w:sz w:val="22"/>
              </w:rPr>
              <w:t>+0.1%</w:t>
            </w:r>
          </w:p>
        </w:tc>
        <w:tc>
          <w:tcPr>
            <w:tcW w:type="dxa" w:w="1080"/>
          </w:tcPr>
          <w:p>
            <w:r>
              <w:rPr>
                <w:rFonts w:ascii="Calibri" w:hAnsi="Calibri"/>
                <w:sz w:val="22"/>
              </w:rPr>
              <w:t>$7.59–$7.73 (mid $7.66)</w:t>
            </w:r>
          </w:p>
        </w:tc>
        <w:tc>
          <w:tcPr>
            <w:tcW w:type="dxa" w:w="1080"/>
          </w:tcPr>
          <w:p>
            <w:r>
              <w:rPr>
                <w:rFonts w:ascii="Calibri" w:hAnsi="Calibri"/>
                <w:sz w:val="22"/>
              </w:rPr>
              <w:t>$7.59–$7.73 (mid $7.66)</w:t>
            </w:r>
          </w:p>
        </w:tc>
        <w:tc>
          <w:tcPr>
            <w:tcW w:type="dxa" w:w="1080"/>
          </w:tcPr>
          <w:p>
            <w:r>
              <w:rPr>
                <w:rFonts w:ascii="Calibri" w:hAnsi="Calibri"/>
                <w:sz w:val="22"/>
              </w:rPr>
              <w:t>Unchanged</w:t>
            </w:r>
          </w:p>
        </w:tc>
        <w:tc>
          <w:tcPr>
            <w:tcW w:type="dxa" w:w="1080"/>
          </w:tcPr>
          <w:p>
            <w:r>
              <w:rPr>
                <w:rFonts w:ascii="Calibri" w:hAnsi="Calibri"/>
                <w:sz w:val="22"/>
              </w:rPr>
              <w:t>+0.7% above mid</w:t>
            </w:r>
          </w:p>
        </w:tc>
      </w:tr>
      <w:tr>
        <w:tc>
          <w:tcPr>
            <w:tcW w:type="dxa" w:w="1080"/>
          </w:tcPr>
          <w:p>
            <w:r>
              <w:rPr>
                <w:rFonts w:ascii="Calibri" w:hAnsi="Calibri"/>
                <w:sz w:val="22"/>
              </w:rPr>
              <w:t>Operating EPS — FY 2027</w:t>
            </w:r>
          </w:p>
        </w:tc>
        <w:tc>
          <w:tcPr>
            <w:tcW w:type="dxa" w:w="1080"/>
          </w:tcPr>
          <w:p>
            <w:r>
              <w:rPr>
                <w:rFonts w:ascii="Calibri" w:hAnsi="Calibri"/>
                <w:sz w:val="22"/>
              </w:rPr>
              <w:t>$8.42</w:t>
            </w:r>
          </w:p>
        </w:tc>
        <w:tc>
          <w:tcPr>
            <w:tcW w:type="dxa" w:w="1080"/>
          </w:tcPr>
          <w:p>
            <w:r>
              <w:rPr>
                <w:rFonts w:ascii="Calibri" w:hAnsi="Calibri"/>
                <w:sz w:val="22"/>
              </w:rPr>
              <w:t>$8.37</w:t>
            </w:r>
          </w:p>
        </w:tc>
        <w:tc>
          <w:tcPr>
            <w:tcW w:type="dxa" w:w="1080"/>
          </w:tcPr>
          <w:p>
            <w:r>
              <w:rPr>
                <w:rFonts w:ascii="Calibri" w:hAnsi="Calibri"/>
                <w:sz w:val="22"/>
              </w:rPr>
              <w:t>−0.6%</w:t>
            </w:r>
          </w:p>
        </w:tc>
        <w:tc>
          <w:tcPr>
            <w:tcW w:type="dxa" w:w="1080"/>
          </w:tcPr>
          <w:p>
            <w:r>
              <w:rPr>
                <w:rFonts w:ascii="Calibri" w:hAnsi="Calibri"/>
                <w:sz w:val="22"/>
              </w:rPr>
              <w:t>6–8% CAGR from FY26 mid</w:t>
            </w:r>
          </w:p>
        </w:tc>
        <w:tc>
          <w:tcPr>
            <w:tcW w:type="dxa" w:w="1080"/>
          </w:tcPr>
          <w:p>
            <w:r>
              <w:rPr>
                <w:rFonts w:ascii="Calibri" w:hAnsi="Calibri"/>
                <w:sz w:val="22"/>
              </w:rPr>
              <w:t>6–8% CAGR from FY26 mid</w:t>
            </w:r>
          </w:p>
        </w:tc>
        <w:tc>
          <w:tcPr>
            <w:tcW w:type="dxa" w:w="1080"/>
          </w:tcPr>
          <w:p>
            <w:r>
              <w:rPr>
                <w:rFonts w:ascii="Calibri" w:hAnsi="Calibri"/>
                <w:sz w:val="22"/>
              </w:rPr>
              <w:t>Unchanged</w:t>
            </w:r>
          </w:p>
        </w:tc>
        <w:tc>
          <w:tcPr>
            <w:tcW w:type="dxa" w:w="1080"/>
          </w:tcPr>
          <w:p>
            <w:r>
              <w:rPr>
                <w:rFonts w:ascii="Calibri" w:hAnsi="Calibri"/>
                <w:sz w:val="22"/>
              </w:rPr>
              <w:t>~9.2% growth; within range</w:t>
            </w:r>
          </w:p>
        </w:tc>
      </w:tr>
      <w:tr>
        <w:tc>
          <w:tcPr>
            <w:tcW w:type="dxa" w:w="1080"/>
          </w:tcPr>
          <w:p>
            <w:r>
              <w:rPr>
                <w:rFonts w:ascii="Calibri" w:hAnsi="Calibri"/>
                <w:sz w:val="22"/>
              </w:rPr>
              <w:t>Electric EPS — Q2 2026</w:t>
            </w:r>
          </w:p>
        </w:tc>
        <w:tc>
          <w:tcPr>
            <w:tcW w:type="dxa" w:w="1080"/>
          </w:tcPr>
          <w:p>
            <w:r>
              <w:rPr>
                <w:rFonts w:ascii="Calibri" w:hAnsi="Calibri"/>
                <w:sz w:val="22"/>
              </w:rPr>
              <w:t>$1.55</w:t>
            </w:r>
          </w:p>
        </w:tc>
        <w:tc>
          <w:tcPr>
            <w:tcW w:type="dxa" w:w="1080"/>
          </w:tcPr>
          <w:p>
            <w:r>
              <w:rPr>
                <w:rFonts w:ascii="Calibri" w:hAnsi="Calibri"/>
                <w:sz w:val="22"/>
              </w:rPr>
              <w:t>$1.22</w:t>
            </w:r>
          </w:p>
        </w:tc>
        <w:tc>
          <w:tcPr>
            <w:tcW w:type="dxa" w:w="1080"/>
          </w:tcPr>
          <w:p>
            <w:r>
              <w:rPr>
                <w:rFonts w:ascii="Calibri" w:hAnsi="Calibri"/>
                <w:b/>
                <w:color w:val="E5484D"/>
                <w:sz w:val="22"/>
              </w:rPr>
              <w:t>−21.3%</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Electric EPS — FY 2026</w:t>
            </w:r>
          </w:p>
        </w:tc>
        <w:tc>
          <w:tcPr>
            <w:tcW w:type="dxa" w:w="1080"/>
          </w:tcPr>
          <w:p>
            <w:r>
              <w:rPr>
                <w:rFonts w:ascii="Calibri" w:hAnsi="Calibri"/>
                <w:sz w:val="22"/>
              </w:rPr>
              <w:t>$6.13</w:t>
            </w:r>
          </w:p>
        </w:tc>
        <w:tc>
          <w:tcPr>
            <w:tcW w:type="dxa" w:w="1080"/>
          </w:tcPr>
          <w:p>
            <w:r>
              <w:rPr>
                <w:rFonts w:ascii="Calibri" w:hAnsi="Calibri"/>
                <w:sz w:val="22"/>
              </w:rPr>
              <w:t>$6.13</w:t>
            </w:r>
          </w:p>
        </w:tc>
        <w:tc>
          <w:tcPr>
            <w:tcW w:type="dxa" w:w="1080"/>
          </w:tcPr>
          <w:p>
            <w:r>
              <w:rPr>
                <w:rFonts w:ascii="Calibri" w:hAnsi="Calibri"/>
                <w:sz w:val="22"/>
              </w:rPr>
              <w:t>0.0%</w:t>
            </w:r>
          </w:p>
        </w:tc>
        <w:tc>
          <w:tcPr>
            <w:tcW w:type="dxa" w:w="1080"/>
          </w:tcPr>
          <w:p>
            <w:r>
              <w:rPr>
                <w:rFonts w:ascii="Calibri" w:hAnsi="Calibri"/>
                <w:sz w:val="22"/>
              </w:rPr>
              <w:t>$1,340–$1,360M segment</w:t>
            </w:r>
          </w:p>
        </w:tc>
        <w:tc>
          <w:tcPr>
            <w:tcW w:type="dxa" w:w="1080"/>
          </w:tcPr>
          <w:p>
            <w:r>
              <w:rPr>
                <w:rFonts w:ascii="Calibri" w:hAnsi="Calibri"/>
                <w:sz w:val="22"/>
              </w:rPr>
              <w:t>$1,340–$1,360M segment</w:t>
            </w:r>
          </w:p>
        </w:tc>
        <w:tc>
          <w:tcPr>
            <w:tcW w:type="dxa" w:w="1080"/>
          </w:tcPr>
          <w:p>
            <w:r>
              <w:rPr>
                <w:rFonts w:ascii="Calibri" w:hAnsi="Calibri"/>
                <w:sz w:val="22"/>
              </w:rPr>
              <w:t>Unchanged</w:t>
            </w:r>
          </w:p>
        </w:tc>
        <w:tc>
          <w:tcPr>
            <w:tcW w:type="dxa" w:w="1080"/>
          </w:tcPr>
          <w:p>
            <w:r>
              <w:rPr>
                <w:rFonts w:ascii="Calibri" w:hAnsi="Calibri"/>
                <w:sz w:val="22"/>
              </w:rPr>
              <w:t>In line with guidance</w:t>
            </w:r>
          </w:p>
        </w:tc>
      </w:tr>
      <w:tr>
        <w:tc>
          <w:tcPr>
            <w:tcW w:type="dxa" w:w="1080"/>
          </w:tcPr>
          <w:p>
            <w:r>
              <w:rPr>
                <w:rFonts w:ascii="Calibri" w:hAnsi="Calibri"/>
                <w:sz w:val="22"/>
              </w:rPr>
              <w:t>Total CapEx — FY 2026</w:t>
            </w:r>
          </w:p>
        </w:tc>
        <w:tc>
          <w:tcPr>
            <w:tcW w:type="dxa" w:w="1080"/>
          </w:tcPr>
          <w:p>
            <w:r>
              <w:rPr>
                <w:rFonts w:ascii="Calibri" w:hAnsi="Calibri"/>
                <w:sz w:val="22"/>
              </w:rPr>
              <w:t>$6,807M</w:t>
            </w:r>
          </w:p>
        </w:tc>
        <w:tc>
          <w:tcPr>
            <w:tcW w:type="dxa" w:w="1080"/>
          </w:tcPr>
          <w:p>
            <w:r>
              <w:rPr>
                <w:rFonts w:ascii="Calibri" w:hAnsi="Calibri"/>
                <w:sz w:val="22"/>
              </w:rPr>
              <w:t>$6,807M</w:t>
            </w:r>
          </w:p>
        </w:tc>
        <w:tc>
          <w:tcPr>
            <w:tcW w:type="dxa" w:w="1080"/>
          </w:tcPr>
          <w:p>
            <w:r>
              <w:rPr>
                <w:rFonts w:ascii="Calibri" w:hAnsi="Calibri"/>
                <w:sz w:val="22"/>
              </w:rPr>
              <w:t>0.0%</w:t>
            </w:r>
          </w:p>
        </w:tc>
        <w:tc>
          <w:tcPr>
            <w:tcW w:type="dxa" w:w="1080"/>
          </w:tcPr>
          <w:p>
            <w:r>
              <w:rPr>
                <w:rFonts w:ascii="Calibri" w:hAnsi="Calibri"/>
                <w:sz w:val="22"/>
              </w:rPr>
              <w:t>$6,720–$6,820M</w:t>
            </w:r>
          </w:p>
        </w:tc>
        <w:tc>
          <w:tcPr>
            <w:tcW w:type="dxa" w:w="1080"/>
          </w:tcPr>
          <w:p>
            <w:r>
              <w:rPr>
                <w:rFonts w:ascii="Calibri" w:hAnsi="Calibri"/>
                <w:sz w:val="22"/>
              </w:rPr>
              <w:t>$6,720–$6,820M</w:t>
            </w:r>
          </w:p>
        </w:tc>
        <w:tc>
          <w:tcPr>
            <w:tcW w:type="dxa" w:w="1080"/>
          </w:tcPr>
          <w:p>
            <w:r>
              <w:rPr>
                <w:rFonts w:ascii="Calibri" w:hAnsi="Calibri"/>
                <w:sz w:val="22"/>
              </w:rPr>
              <w:t>Unchanged</w:t>
            </w:r>
          </w:p>
        </w:tc>
        <w:tc>
          <w:tcPr>
            <w:tcW w:type="dxa" w:w="1080"/>
          </w:tcPr>
          <w:p>
            <w:r>
              <w:rPr>
                <w:rFonts w:ascii="Calibri" w:hAnsi="Calibri"/>
                <w:sz w:val="22"/>
              </w:rPr>
              <w:t>At midpoint of guidance</w:t>
            </w:r>
          </w:p>
        </w:tc>
      </w:tr>
    </w:tbl>
    <w:p>
      <w:r>
        <w:rPr>
          <w:rFonts w:ascii="Calibri" w:hAnsi="Calibri"/>
          <w:color w:val="525866"/>
          <w:sz w:val="22"/>
        </w:rPr>
        <w:t>The sharp Q2 EPS estimate cut (−23%) vs. flat FY estimates implies the Street is modeling a strong H2 recovery — consistent with management's energy trading timing reversal guidance and Oracle grid connection by year-end. If Q2 comes in above the $1.14 consensus (as DTE has done in 7 of 8 recent quarters), the full-year number likely moves higher.</w:t>
      </w:r>
    </w:p>
    <w:p>
      <w:r>
        <w:rPr>
          <w:rFonts w:ascii="Calibri" w:hAnsi="Calibri"/>
          <w:i/>
          <w:color w:val="525866"/>
          <w:sz w:val="22"/>
        </w:rPr>
        <w:t>Source: Visible Alpha Consensus and Actuals Data (as-of date: May 7, 2026 for baseline; current as of July 27,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DTE has slightly underperformed XLU since the Q1 2026 print (DTE −2.9% vs. XLU −2.5% indexed), with the stock tracking the broader utilities sector lower amid rising rate concerns; the underperformance is modest and does not suggest the market has priced in a meaningful beat or miss, leaving the stock setup </w:t>
      </w:r>
      <w:r>
        <w:rPr>
          <w:rFonts w:ascii="Calibri" w:hAnsi="Calibri"/>
          <w:b/>
          <w:color w:val="525866"/>
          <w:sz w:val="22"/>
        </w:rPr>
        <w:t>neutral heading into Q2</w:t>
      </w:r>
      <w:r>
        <w:rPr>
          <w:rFonts w:ascii="Calibri" w:hAnsi="Calibri"/>
          <w:color w:val="525866"/>
          <w:sz w:val="22"/>
        </w:rPr>
        <w:t>. The June investor meeting and $1B debenture offering were non-events for the stock.</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DTE vs. XLU (Utilities ETF) — Indexed to 100 at Q1 2026 Earnings (April 30, 2026). Sector ETF: XLU (Utilities Select Sector SPDR Fund), appropriate for DTE's regulated electric/gas utility sub-sector. Source: Stock Price Data (Yahoo Finance).</w:t>
      </w:r>
    </w:p>
    <w:p>
      <w:r>
        <w:rPr>
          <w:rFonts w:ascii="Calibri" w:hAnsi="Calibri"/>
          <w:b/>
          <w:color w:val="525866"/>
          <w:sz w:val="22"/>
        </w:rPr>
        <w:t xml:space="preserve">Performance Detail: </w:t>
      </w:r>
      <w:r>
        <w:rPr>
          <w:rFonts w:ascii="Calibri" w:hAnsi="Calibri"/>
          <w:color w:val="525866"/>
          <w:sz w:val="22"/>
        </w:rPr>
        <w:t>DTE opened at $151.69 on April 30 (Q1 earnings day) and closed at $147.23 on July 28, 2026, a decline of −2.9% on an indexed basis. XLU declined −2.5% over the same period. DTE briefly rallied to $154.43 on June 26 (near the investor meeting on June 23) before pulling back. The stock has traded in a $139.78–$154.43 range since the Q1 print. No analyst rating changes were identified in the period. The modest underperformance vs. XLU is consistent with DTE's elevated CapEx and equity issuance program weighing on near-term FCF, partially offset by the data center growth narrative.</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Google 1 GW data center contract submission to MPSC</w:t>
      </w:r>
      <w:r>
        <w:rPr>
          <w:rFonts w:ascii="Calibri" w:hAnsi="Calibri"/>
          <w:color w:val="525866"/>
          <w:sz w:val="22"/>
        </w:rPr>
        <w:t xml:space="preserve"> (April 30, 2026), with approval expected in September 2026 — this is the single largest near-term catalyst for the stock and could drive ~$5B of incremental CapEx through 2032.</w:t>
      </w:r>
    </w:p>
    <w:p>
      <w:pPr>
        <w:pStyle w:val="ListBullet"/>
        <w:ind w:left="360" w:hanging="360"/>
      </w:pPr>
      <w:r>
        <w:rPr>
          <w:rFonts w:ascii="Calibri" w:hAnsi="Calibri"/>
          <w:b/>
          <w:color w:val="525866"/>
          <w:sz w:val="22"/>
        </w:rPr>
        <w:t>April 30, 2026 — Google 1 GW Data Center Agreement Submitted to MPSC:</w:t>
      </w:r>
      <w:r>
        <w:rPr>
          <w:rFonts w:ascii="Calibri" w:hAnsi="Calibri"/>
          <w:color w:val="525866"/>
          <w:sz w:val="22"/>
        </w:rPr>
        <w:t xml:space="preserve"> DTE executed and submitted to the Michigan Public Service Commission a 20-year power supply agreement with Google to serve a 1 GW data center. MPSC approval expected September 2026. Google load expected to fully ramp by end of 2028, driving ~$5B of incremental generation and storage investment through 2032 and ~$1.7B of customer affordability benefits over the contract life. </w:t>
      </w:r>
      <w:r>
        <w:rPr>
          <w:rFonts w:ascii="Calibri" w:hAnsi="Calibri"/>
          <w:i/>
          <w:color w:val="525866"/>
          <w:sz w:val="22"/>
        </w:rPr>
        <w:t xml:space="preserve">Implication: </w:t>
      </w:r>
      <w:r>
        <w:rPr>
          <w:rFonts w:ascii="Calibri" w:hAnsi="Calibri"/>
          <w:i/>
          <w:color w:val="525866"/>
          <w:sz w:val="22"/>
        </w:rPr>
        <w:t>Approval would be a significant positive catalyst and could push DTE's EPS CAGR toward the high end of 8% through 2030.</w:t>
      </w:r>
    </w:p>
    <w:p>
      <w:pPr>
        <w:pStyle w:val="ListBullet"/>
        <w:ind w:left="360" w:hanging="360"/>
      </w:pPr>
      <w:r>
        <w:rPr>
          <w:rFonts w:ascii="Calibri" w:hAnsi="Calibri"/>
          <w:b/>
          <w:color w:val="525866"/>
          <w:sz w:val="22"/>
        </w:rPr>
        <w:t>April 30, 2026 — DTE Vantage ~350 MW Behind-the-Meter Data Center Deal in Final Stages:</w:t>
      </w:r>
      <w:r>
        <w:rPr>
          <w:rFonts w:ascii="Calibri" w:hAnsi="Calibri"/>
          <w:color w:val="525866"/>
          <w:sz w:val="22"/>
        </w:rPr>
        <w:t xml:space="preserve"> Management disclosed on the Q1 call that the Vantage behind-the-meter data center project ("roughly 350 MW") was "down to the short strokes" with a full agreement expected "over the next several weeks." This would be a new revenue vertical for Vantage with the counterparty expressing interest in expansion. </w:t>
      </w:r>
      <w:r>
        <w:rPr>
          <w:rFonts w:ascii="Calibri" w:hAnsi="Calibri"/>
          <w:i/>
          <w:color w:val="525866"/>
          <w:sz w:val="22"/>
        </w:rPr>
        <w:t xml:space="preserve">Implication: </w:t>
      </w:r>
      <w:r>
        <w:rPr>
          <w:rFonts w:ascii="Calibri" w:hAnsi="Calibri"/>
          <w:i/>
          <w:color w:val="525866"/>
          <w:sz w:val="22"/>
        </w:rPr>
        <w:t>If announced alongside Q2 results, this would be incremental upside to the current plan.</w:t>
      </w:r>
    </w:p>
    <w:p>
      <w:pPr>
        <w:pStyle w:val="ListBullet"/>
        <w:ind w:left="360" w:hanging="360"/>
      </w:pPr>
      <w:r>
        <w:rPr>
          <w:rFonts w:ascii="Calibri" w:hAnsi="Calibri"/>
          <w:b/>
          <w:color w:val="525866"/>
          <w:sz w:val="22"/>
        </w:rPr>
        <w:t>June 18, 2026 — DTE Completes $1 Billion Debenture Offering:</w:t>
      </w:r>
      <w:r>
        <w:rPr>
          <w:rFonts w:ascii="Calibri" w:hAnsi="Calibri"/>
          <w:color w:val="525866"/>
          <w:sz w:val="22"/>
        </w:rPr>
        <w:t xml:space="preserve"> DTE completed a $1B debenture offering, consistent with its $500–$600M annual equity issuance plan and broader financing of the $36.5B five-year capital plan. </w:t>
      </w:r>
      <w:r>
        <w:rPr>
          <w:rFonts w:ascii="Calibri" w:hAnsi="Calibri"/>
          <w:i/>
          <w:color w:val="525866"/>
          <w:sz w:val="22"/>
        </w:rPr>
        <w:t xml:space="preserve">Implication: </w:t>
      </w:r>
      <w:r>
        <w:rPr>
          <w:rFonts w:ascii="Calibri" w:hAnsi="Calibri"/>
          <w:i/>
          <w:color w:val="525866"/>
          <w:sz w:val="22"/>
        </w:rPr>
        <w:t>Execution ahead of schedule on financing; no surprise to the market.</w:t>
      </w:r>
    </w:p>
    <w:p>
      <w:pPr>
        <w:pStyle w:val="ListBullet"/>
        <w:ind w:left="360" w:hanging="360"/>
      </w:pPr>
      <w:r>
        <w:rPr>
          <w:rFonts w:ascii="Calibri" w:hAnsi="Calibri"/>
          <w:b/>
          <w:color w:val="525866"/>
          <w:sz w:val="22"/>
        </w:rPr>
        <w:t>June 22–23, 2026 — Investor Meeting (Guidance Reaffirmed):</w:t>
      </w:r>
      <w:r>
        <w:rPr>
          <w:rFonts w:ascii="Calibri" w:hAnsi="Calibri"/>
          <w:color w:val="525866"/>
          <w:sz w:val="22"/>
        </w:rPr>
        <w:t xml:space="preserve"> DTE held an investor meeting on June 23 incorporating the May 15 investor presentation. The 2026 operating EPS guidance of $7.59–$7.73 was reaffirmed with confidence in the high end. No new guidance changes were disclosed. </w:t>
      </w:r>
      <w:r>
        <w:rPr>
          <w:rFonts w:ascii="Calibri" w:hAnsi="Calibri"/>
          <w:i/>
          <w:color w:val="525866"/>
          <w:sz w:val="22"/>
        </w:rPr>
        <w:t xml:space="preserve">Implication: </w:t>
      </w:r>
      <w:r>
        <w:rPr>
          <w:rFonts w:ascii="Calibri" w:hAnsi="Calibri"/>
          <w:i/>
          <w:color w:val="525866"/>
          <w:sz w:val="22"/>
        </w:rPr>
        <w:t>Confirms management's unchanged posture; no negative pre-announcement.</w:t>
      </w:r>
    </w:p>
    <w:p>
      <w:pPr>
        <w:pStyle w:val="ListBullet"/>
        <w:ind w:left="360" w:hanging="360"/>
      </w:pPr>
      <w:r>
        <w:rPr>
          <w:rFonts w:ascii="Calibri" w:hAnsi="Calibri"/>
          <w:b/>
          <w:color w:val="525866"/>
          <w:sz w:val="22"/>
        </w:rPr>
        <w:t>May 15, 2026 — Investor Presentation Filed (8-K EX-99.1):</w:t>
      </w:r>
      <w:r>
        <w:rPr>
          <w:rFonts w:ascii="Calibri" w:hAnsi="Calibri"/>
          <w:color w:val="525866"/>
          <w:sz w:val="22"/>
        </w:rPr>
        <w:t xml:space="preserve"> DTE filed a comprehensive investor presentation reaffirming the 5-year $36.5B capital plan, segment guidance, and data center pipeline (Oracle approved/under construction, Google pending MPSC, ~2 GW in advanced discussions, 3–4 GW in pipeline). Equity issuance target of $500–$600M annually 2026–2028 confirmed. </w:t>
      </w:r>
      <w:r>
        <w:rPr>
          <w:rFonts w:ascii="Calibri" w:hAnsi="Calibri"/>
          <w:i/>
          <w:color w:val="525866"/>
          <w:sz w:val="22"/>
        </w:rPr>
        <w:t xml:space="preserve">Implication: </w:t>
      </w:r>
      <w:r>
        <w:rPr>
          <w:rFonts w:ascii="Calibri" w:hAnsi="Calibri"/>
          <w:i/>
          <w:color w:val="525866"/>
          <w:sz w:val="22"/>
        </w:rPr>
        <w:t>No surprises; reinforces the growth narrative.</w:t>
      </w:r>
    </w:p>
    <w:p>
      <w:pPr>
        <w:pStyle w:val="ListBullet"/>
        <w:ind w:left="360" w:hanging="360"/>
      </w:pPr>
      <w:r>
        <w:rPr>
          <w:rFonts w:ascii="Calibri" w:hAnsi="Calibri"/>
          <w:b/>
          <w:color w:val="525866"/>
          <w:sz w:val="22"/>
        </w:rPr>
        <w:t>May 12, 2026 — Annual Meeting (All Directors Elected, Executive Pay Approved):</w:t>
      </w:r>
      <w:r>
        <w:rPr>
          <w:rFonts w:ascii="Calibri" w:hAnsi="Calibri"/>
          <w:color w:val="525866"/>
          <w:sz w:val="22"/>
        </w:rPr>
        <w:t xml:space="preserve"> Routine governance event; no material changes to board or compensation structure. </w:t>
      </w:r>
      <w:r>
        <w:rPr>
          <w:rFonts w:ascii="Calibri" w:hAnsi="Calibri"/>
          <w:i/>
          <w:color w:val="525866"/>
          <w:sz w:val="22"/>
        </w:rPr>
        <w:t xml:space="preserve">Implication: </w:t>
      </w:r>
      <w:r>
        <w:rPr>
          <w:rFonts w:ascii="Calibri" w:hAnsi="Calibri"/>
          <w:i/>
          <w:color w:val="525866"/>
          <w:sz w:val="22"/>
        </w:rPr>
        <w:t>No signal.</w:t>
      </w:r>
    </w:p>
    <w:p>
      <w:pPr>
        <w:pStyle w:val="ListBullet"/>
        <w:ind w:left="360" w:hanging="360"/>
      </w:pPr>
      <w:r>
        <w:rPr>
          <w:rFonts w:ascii="Calibri" w:hAnsi="Calibri"/>
          <w:b/>
          <w:color w:val="525866"/>
          <w:sz w:val="22"/>
        </w:rPr>
        <w:t>April 30, 2026 — Q1 2026 Earnings Miss on Operating EPS:</w:t>
      </w:r>
      <w:r>
        <w:rPr>
          <w:rFonts w:ascii="Calibri" w:hAnsi="Calibri"/>
          <w:color w:val="525866"/>
          <w:sz w:val="22"/>
        </w:rPr>
        <w:t xml:space="preserve"> DTE reported Q1 2026 Operating EPS of $1.95 vs. consensus of $2.07 (−5.8% miss), driven by energy trading timing (−$0.12 actual vs. $0.10 consensus) and corporate tax timing. Electric segment beat ($1.04 vs. $0.92). Stock rose modestly on the day. </w:t>
      </w:r>
      <w:r>
        <w:rPr>
          <w:rFonts w:ascii="Calibri" w:hAnsi="Calibri"/>
          <w:i/>
          <w:color w:val="525866"/>
          <w:sz w:val="22"/>
        </w:rPr>
        <w:t xml:space="preserve">Implication: </w:t>
      </w:r>
      <w:r>
        <w:rPr>
          <w:rFonts w:ascii="Calibri" w:hAnsi="Calibri"/>
          <w:i/>
          <w:color w:val="525866"/>
          <w:sz w:val="22"/>
        </w:rPr>
        <w:t>Energy trading timing reversal is the key Q2 swing factor; management was explicit this would reverse through the year.</w:t>
      </w:r>
    </w:p>
    <w:p>
      <w:pPr>
        <w:pStyle w:val="ListBullet"/>
        <w:ind w:left="360" w:hanging="360"/>
      </w:pPr>
      <w:r>
        <w:rPr>
          <w:rFonts w:ascii="Calibri" w:hAnsi="Calibri"/>
          <w:b/>
          <w:color w:val="525866"/>
          <w:sz w:val="22"/>
        </w:rPr>
        <w:t>Ongoing — Oracle 1.4 GW Data Center Under Construction:</w:t>
      </w:r>
      <w:r>
        <w:rPr>
          <w:rFonts w:ascii="Calibri" w:hAnsi="Calibri"/>
          <w:color w:val="525866"/>
          <w:sz w:val="22"/>
        </w:rPr>
        <w:t xml:space="preserve"> Oracle's 1.4 GW data center (MPSC-approved) is under construction with grid connection expected by end of 2026. Expected to drive ~$300M of annual affordability benefits for existing customers once fully ramped. </w:t>
      </w:r>
      <w:r>
        <w:rPr>
          <w:rFonts w:ascii="Calibri" w:hAnsi="Calibri"/>
          <w:i/>
          <w:color w:val="525866"/>
          <w:sz w:val="22"/>
        </w:rPr>
        <w:t xml:space="preserve">Implication: </w:t>
      </w:r>
      <w:r>
        <w:rPr>
          <w:rFonts w:ascii="Calibri" w:hAnsi="Calibri"/>
          <w:i/>
          <w:color w:val="525866"/>
          <w:sz w:val="22"/>
        </w:rPr>
        <w:t>Key execution milestone; any update on construction progress would be a positive signal.</w:t>
      </w:r>
    </w:p>
    <w:p>
      <w:pPr>
        <w:pStyle w:val="ListBullet"/>
        <w:ind w:left="360" w:hanging="360"/>
      </w:pPr>
      <w:r>
        <w:rPr>
          <w:rFonts w:ascii="Calibri" w:hAnsi="Calibri"/>
          <w:b/>
          <w:color w:val="525866"/>
          <w:sz w:val="22"/>
        </w:rPr>
        <w:t>Ongoing — Electric Rate Case Pending:</w:t>
      </w:r>
      <w:r>
        <w:rPr>
          <w:rFonts w:ascii="Calibri" w:hAnsi="Calibri"/>
          <w:color w:val="525866"/>
          <w:sz w:val="22"/>
        </w:rPr>
        <w:t xml:space="preserve"> DTE's current electric rate case includes a proposed regulatory mechanism to capture excess Oracle margin above filed assumptions, which could delay the next rate case filing until at least 2028 if Oracle load ramps by end of 2027. Google approval could push cases out further. </w:t>
      </w:r>
      <w:r>
        <w:rPr>
          <w:rFonts w:ascii="Calibri" w:hAnsi="Calibri"/>
          <w:i/>
          <w:color w:val="525866"/>
          <w:sz w:val="22"/>
        </w:rPr>
        <w:t xml:space="preserve">Implication: </w:t>
      </w:r>
      <w:r>
        <w:rPr>
          <w:rFonts w:ascii="Calibri" w:hAnsi="Calibri"/>
          <w:i/>
          <w:color w:val="525866"/>
          <w:sz w:val="22"/>
        </w:rPr>
        <w:t>Positive for earnings quality and regulatory risk reduction.</w:t>
      </w:r>
    </w:p>
    <w:p>
      <w:r>
        <w:br w:type="page"/>
      </w:r>
    </w:p>
    <w:p>
      <w:pPr>
        <w:pStyle w:val="Heading2"/>
      </w:pPr>
      <w:r>
        <w:rPr>
          <w:rFonts w:ascii="Calibri" w:hAnsi="Calibri"/>
          <w:b/>
          <w:color w:val="3B4259"/>
          <w:sz w:val="28"/>
        </w:rPr>
        <w:t>7. Peer Commentaries — Read-Through for Q2 2026 (Last 60 Days)</w:t>
      </w:r>
    </w:p>
    <w:p>
      <w:r>
        <w:rPr>
          <w:rFonts w:ascii="Calibri" w:hAnsi="Calibri"/>
          <w:b/>
          <w:color w:val="525866"/>
          <w:sz w:val="22"/>
        </w:rPr>
        <w:t xml:space="preserve">Key Takeaway: </w:t>
      </w:r>
      <w:r>
        <w:rPr>
          <w:rFonts w:ascii="Calibri" w:hAnsi="Calibri"/>
          <w:color w:val="525866"/>
          <w:sz w:val="22"/>
        </w:rPr>
        <w:t xml:space="preserve">Peer commentary from Q1 2026 earnings calls and the Entergy June 2026 Investor Day is </w:t>
      </w:r>
      <w:r>
        <w:rPr>
          <w:rFonts w:ascii="Calibri" w:hAnsi="Calibri"/>
          <w:b/>
          <w:color w:val="525866"/>
          <w:sz w:val="22"/>
        </w:rPr>
        <w:t>uniformly bullish on data center load growth</w:t>
      </w:r>
      <w:r>
        <w:rPr>
          <w:rFonts w:ascii="Calibri" w:hAnsi="Calibri"/>
          <w:color w:val="525866"/>
          <w:sz w:val="22"/>
        </w:rPr>
        <w:t xml:space="preserve"> — NEE (Q2 2026, July 24), PCG (Q2 2026, July 23), DUK (Q1 2026, May 5), AEP (Q1 2026, May 5), PPL (Q1 2026, May 8), and ETR (Investor Day, June 9) all confirm accelerating hyperscaler demand, constructive regulatory frameworks for large load, and confidence in multi-year EPS growth — all positive read-throughs for DTE's data center thesis and Q2 setup.</w:t>
      </w:r>
    </w:p>
    <w:p>
      <w:pPr>
        <w:pStyle w:val="Heading3"/>
      </w:pPr>
      <w:r>
        <w:rPr>
          <w:rFonts w:ascii="Calibri" w:hAnsi="Calibri"/>
          <w:b/>
          <w:color w:val="3B4259"/>
          <w:sz w:val="24"/>
        </w:rPr>
        <w:t>NextEra Energy (NEE) — Q2 2026 Earnings Call (July 24, 2026)</w:t>
      </w:r>
    </w:p>
    <w:p>
      <w:r>
        <w:rPr>
          <w:rFonts w:ascii="Calibri" w:hAnsi="Calibri"/>
          <w:b/>
          <w:color w:val="525866"/>
          <w:sz w:val="22"/>
        </w:rPr>
        <w:t xml:space="preserve">Relevance: </w:t>
      </w:r>
      <w:r>
        <w:rPr>
          <w:rFonts w:ascii="Calibri" w:hAnsi="Calibri"/>
          <w:color w:val="525866"/>
          <w:sz w:val="22"/>
        </w:rPr>
        <w:t>NEE is the largest regulated utility and a direct read-through on data center demand, regulatory frameworks, and power demand acceleration. NEE reported Q2 2026 on July 24 — the most current peer read-through available.</w:t>
      </w:r>
    </w:p>
    <w:p>
      <w:pPr>
        <w:pStyle w:val="ListBullet"/>
        <w:ind w:left="360" w:hanging="360"/>
      </w:pPr>
      <w:r>
        <w:rPr>
          <w:rFonts w:ascii="Calibri" w:hAnsi="Calibri"/>
          <w:b/>
          <w:color w:val="525866"/>
          <w:sz w:val="22"/>
        </w:rPr>
        <w:t>Power demand continues to accelerate:</w:t>
      </w:r>
      <w:r>
        <w:rPr>
          <w:rFonts w:ascii="Calibri" w:hAnsi="Calibri"/>
          <w:color w:val="525866"/>
          <w:sz w:val="22"/>
        </w:rPr>
        <w:t xml:space="preserve"> NEE management stated "power demand continues to accelerate" in 2026 and beyond, with "very strong interest from hyperscalers and other large load customers." FPL updated its large load expectations from 6 GW to 8 GW by 2032 as part of its new four-year rate agreement. FPL currently has ~21 GW of large load interest with advanced discussions on 12 GW. </w:t>
      </w:r>
      <w:r>
        <w:rPr>
          <w:rFonts w:ascii="Calibri" w:hAnsi="Calibri"/>
          <w:i/>
          <w:color w:val="525866"/>
          <w:sz w:val="22"/>
        </w:rPr>
        <w:t xml:space="preserve">DTE read-through: </w:t>
      </w:r>
      <w:r>
        <w:rPr>
          <w:rFonts w:ascii="Calibri" w:hAnsi="Calibri"/>
          <w:i/>
          <w:color w:val="525866"/>
          <w:sz w:val="22"/>
        </w:rPr>
        <w:t>Confirms the demand environment supporting DTE's Oracle/Google pipeline and ~2 GW in advanced discussions is real and accelerating.</w:t>
      </w:r>
    </w:p>
    <w:p>
      <w:pPr>
        <w:pStyle w:val="ListBullet"/>
        <w:ind w:left="360" w:hanging="360"/>
      </w:pPr>
      <w:r>
        <w:rPr>
          <w:rFonts w:ascii="Calibri" w:hAnsi="Calibri"/>
          <w:b/>
          <w:color w:val="525866"/>
          <w:sz w:val="22"/>
        </w:rPr>
        <w:t>Data center hub strategy and hyperscaler engagement:</w:t>
      </w:r>
      <w:r>
        <w:rPr>
          <w:rFonts w:ascii="Calibri" w:hAnsi="Calibri"/>
          <w:color w:val="525866"/>
          <w:sz w:val="22"/>
        </w:rPr>
        <w:t xml:space="preserve"> Energy Resources has 30 potential data center hubs under discussion (expected to rise to 40 by year-end) with a base case goal of 15 GW of new generation to serve large load by 2035 and an upside case of 30+ GW. NEE's "Bring Your Own Generation" approach resonates with hyperscalers. </w:t>
      </w:r>
      <w:r>
        <w:rPr>
          <w:rFonts w:ascii="Calibri" w:hAnsi="Calibri"/>
          <w:i/>
          <w:color w:val="525866"/>
          <w:sz w:val="22"/>
        </w:rPr>
        <w:t xml:space="preserve">DTE read-through: </w:t>
      </w:r>
      <w:r>
        <w:rPr>
          <w:rFonts w:ascii="Calibri" w:hAnsi="Calibri"/>
          <w:i/>
          <w:color w:val="525866"/>
          <w:sz w:val="22"/>
        </w:rPr>
        <w:t>Validates DTE's strategy of securing long-term power supply agreements with minimum monthly charges and credit protections.</w:t>
      </w:r>
    </w:p>
    <w:p>
      <w:pPr>
        <w:pStyle w:val="ListBullet"/>
        <w:ind w:left="360" w:hanging="360"/>
      </w:pPr>
      <w:r>
        <w:rPr>
          <w:rFonts w:ascii="Calibri" w:hAnsi="Calibri"/>
          <w:b/>
          <w:color w:val="525866"/>
          <w:sz w:val="22"/>
        </w:rPr>
        <w:t>Strong Q2 2026 results and FY guidance reaffirmed:</w:t>
      </w:r>
      <w:r>
        <w:rPr>
          <w:rFonts w:ascii="Calibri" w:hAnsi="Calibri"/>
          <w:color w:val="525866"/>
          <w:sz w:val="22"/>
        </w:rPr>
        <w:t xml:space="preserve"> NEE reported Q2 2026 adjusted EPS of $1.15 (+9.8% YoY), reaffirmed FY 2026 adjusted EPS guidance of $3.92–$4.02 targeting the high end, and projects 8%+ adjusted EPS CAGR through 2032. Energy Resources adjusted earnings grew ~18% YoY. </w:t>
      </w:r>
      <w:r>
        <w:rPr>
          <w:rFonts w:ascii="Calibri" w:hAnsi="Calibri"/>
          <w:i/>
          <w:color w:val="525866"/>
          <w:sz w:val="22"/>
        </w:rPr>
        <w:t xml:space="preserve">DTE read-through: </w:t>
      </w:r>
      <w:r>
        <w:rPr>
          <w:rFonts w:ascii="Calibri" w:hAnsi="Calibri"/>
          <w:i/>
          <w:color w:val="525866"/>
          <w:sz w:val="22"/>
        </w:rPr>
        <w:t>Positive sector tone; strong utility earnings execution supports DTE's ability to deliver at the high end of its own guidance.</w:t>
      </w:r>
    </w:p>
    <w:p>
      <w:pPr>
        <w:pStyle w:val="ListBullet"/>
        <w:ind w:left="360" w:hanging="360"/>
      </w:pPr>
      <w:r>
        <w:rPr>
          <w:rFonts w:ascii="Calibri" w:hAnsi="Calibri"/>
          <w:b/>
          <w:color w:val="525866"/>
          <w:sz w:val="22"/>
        </w:rPr>
        <w:t>FERC Section 206 show cause orders (June 2026):</w:t>
      </w:r>
      <w:r>
        <w:rPr>
          <w:rFonts w:ascii="Calibri" w:hAnsi="Calibri"/>
          <w:color w:val="525866"/>
          <w:sz w:val="22"/>
        </w:rPr>
        <w:t xml:space="preserve"> NEE believes FERC's show cause orders "will create yet another market shift and generate strong demand for the ability to match load with generation," shifting the competitive landscape toward utilities with integrated generation/transmission capabilities. </w:t>
      </w:r>
      <w:r>
        <w:rPr>
          <w:rFonts w:ascii="Calibri" w:hAnsi="Calibri"/>
          <w:i/>
          <w:color w:val="525866"/>
          <w:sz w:val="22"/>
        </w:rPr>
        <w:t xml:space="preserve">DTE read-through: </w:t>
      </w:r>
      <w:r>
        <w:rPr>
          <w:rFonts w:ascii="Calibri" w:hAnsi="Calibri"/>
          <w:i/>
          <w:color w:val="525866"/>
          <w:sz w:val="22"/>
        </w:rPr>
        <w:t>Positive for DTE as a vertically integrated Michigan utility with approved large-load tariff structures.</w:t>
      </w:r>
    </w:p>
    <w:p>
      <w:pPr>
        <w:pStyle w:val="ListBullet"/>
        <w:ind w:left="360" w:hanging="360"/>
      </w:pPr>
      <w:r>
        <w:rPr>
          <w:rFonts w:ascii="Calibri" w:hAnsi="Calibri"/>
          <w:b/>
          <w:color w:val="525866"/>
          <w:sz w:val="22"/>
        </w:rPr>
        <w:t>NEE-Dominion merger filings underway:</w:t>
      </w:r>
      <w:r>
        <w:rPr>
          <w:rFonts w:ascii="Calibri" w:hAnsi="Calibri"/>
          <w:color w:val="525866"/>
          <w:sz w:val="22"/>
        </w:rPr>
        <w:t xml:space="preserve"> Merger approval filings made July 15 with Virginia SCC, NC Utilities Commission, FERC, and NRC; shareholder meetings expected early September; combination expected to close H2 2027. </w:t>
      </w:r>
      <w:r>
        <w:rPr>
          <w:rFonts w:ascii="Calibri" w:hAnsi="Calibri"/>
          <w:i/>
          <w:color w:val="525866"/>
          <w:sz w:val="22"/>
        </w:rPr>
        <w:t xml:space="preserve">DTE read-through: </w:t>
      </w:r>
      <w:r>
        <w:rPr>
          <w:rFonts w:ascii="Calibri" w:hAnsi="Calibri"/>
          <w:i/>
          <w:color w:val="525866"/>
          <w:sz w:val="22"/>
        </w:rPr>
        <w:t>Sector consolidation narrative; no direct DTE impact but confirms utilities are in a transformational growth phase.</w:t>
      </w:r>
    </w:p>
    <w:p>
      <w:pPr>
        <w:pStyle w:val="Heading3"/>
      </w:pPr>
      <w:r>
        <w:rPr>
          <w:rFonts w:ascii="Calibri" w:hAnsi="Calibri"/>
          <w:b/>
          <w:color w:val="3B4259"/>
          <w:sz w:val="24"/>
        </w:rPr>
        <w:t>PG&amp;E (PCG) — Q2 2026 Earnings Call (July 23, 2026)</w:t>
      </w:r>
    </w:p>
    <w:p>
      <w:r>
        <w:rPr>
          <w:rFonts w:ascii="Calibri" w:hAnsi="Calibri"/>
          <w:b/>
          <w:color w:val="525866"/>
          <w:sz w:val="22"/>
        </w:rPr>
        <w:t xml:space="preserve">Relevance: </w:t>
      </w:r>
      <w:r>
        <w:rPr>
          <w:rFonts w:ascii="Calibri" w:hAnsi="Calibri"/>
          <w:color w:val="525866"/>
          <w:sz w:val="22"/>
        </w:rPr>
        <w:t>PCG is a large regulated utility with a major data center pipeline; its Q2 2026 results (reported July 23) provide the most current read on utility earnings execution and data center pipeline quality.</w:t>
      </w:r>
    </w:p>
    <w:p>
      <w:pPr>
        <w:pStyle w:val="ListBullet"/>
        <w:ind w:left="360" w:hanging="360"/>
      </w:pPr>
      <w:r>
        <w:rPr>
          <w:rFonts w:ascii="Calibri" w:hAnsi="Calibri"/>
          <w:b/>
          <w:color w:val="525866"/>
          <w:sz w:val="22"/>
        </w:rPr>
        <w:t>Data center pipeline now over 12 GW:</w:t>
      </w:r>
      <w:r>
        <w:rPr>
          <w:rFonts w:ascii="Calibri" w:hAnsi="Calibri"/>
          <w:color w:val="525866"/>
          <w:sz w:val="22"/>
        </w:rPr>
        <w:t xml:space="preserve"> PCG's data center pipeline grew to over 12 GW (from 10 GW last quarter) after incorporating new projects from its 2026 closure study. PCG expects ~1.8 GW to be online by 2030. PCG raised the threshold for pipeline inclusion (signed WPA + ~10% financial commitment required for final engineering). </w:t>
      </w:r>
      <w:r>
        <w:rPr>
          <w:rFonts w:ascii="Calibri" w:hAnsi="Calibri"/>
          <w:i/>
          <w:color w:val="525866"/>
          <w:sz w:val="22"/>
        </w:rPr>
        <w:t xml:space="preserve">DTE read-through: </w:t>
      </w:r>
      <w:r>
        <w:rPr>
          <w:rFonts w:ascii="Calibri" w:hAnsi="Calibri"/>
          <w:i/>
          <w:color w:val="525866"/>
          <w:sz w:val="22"/>
        </w:rPr>
        <w:t>Confirms hyperscaler demand is broad-based and growing; DTE's more concentrated pipeline (Oracle 1.4 GW approved, Google 1 GW pending) with contractual protections is a higher-quality, more de-risked version.</w:t>
      </w:r>
    </w:p>
    <w:p>
      <w:pPr>
        <w:pStyle w:val="ListBullet"/>
        <w:ind w:left="360" w:hanging="360"/>
      </w:pPr>
      <w:r>
        <w:rPr>
          <w:rFonts w:ascii="Calibri" w:hAnsi="Calibri"/>
          <w:b/>
          <w:color w:val="525866"/>
          <w:sz w:val="22"/>
        </w:rPr>
        <w:t>Q2 2026 core EPS of $0.40; FY 2026 guidance reaffirmed at $1.64–$1.66:</w:t>
      </w:r>
      <w:r>
        <w:rPr>
          <w:rFonts w:ascii="Calibri" w:hAnsi="Calibri"/>
          <w:color w:val="525866"/>
          <w:sz w:val="22"/>
        </w:rPr>
        <w:t xml:space="preserve"> PCG's core EPS of $0.83 for H1 2026 is $0.19 higher than the same point last year. Management reaffirmed FY 2026 guidance and projects 9%+ annual EPS growth from 2027–2030. </w:t>
      </w:r>
      <w:r>
        <w:rPr>
          <w:rFonts w:ascii="Calibri" w:hAnsi="Calibri"/>
          <w:i/>
          <w:color w:val="525866"/>
          <w:sz w:val="22"/>
        </w:rPr>
        <w:t xml:space="preserve">DTE read-through: </w:t>
      </w:r>
      <w:r>
        <w:rPr>
          <w:rFonts w:ascii="Calibri" w:hAnsi="Calibri"/>
          <w:i/>
          <w:color w:val="525866"/>
          <w:sz w:val="22"/>
        </w:rPr>
        <w:t>Positive sector execution tone; utilities are delivering on guidance.</w:t>
      </w:r>
    </w:p>
    <w:p>
      <w:pPr>
        <w:pStyle w:val="ListBullet"/>
        <w:ind w:left="360" w:hanging="360"/>
      </w:pPr>
      <w:r>
        <w:rPr>
          <w:rFonts w:ascii="Calibri" w:hAnsi="Calibri"/>
          <w:b/>
          <w:color w:val="525866"/>
          <w:sz w:val="22"/>
        </w:rPr>
        <w:t>Pricing large load correctly — 1% per GW = 1% rate reduction:</w:t>
      </w:r>
      <w:r>
        <w:rPr>
          <w:rFonts w:ascii="Calibri" w:hAnsi="Calibri"/>
          <w:color w:val="525866"/>
          <w:sz w:val="22"/>
        </w:rPr>
        <w:t xml:space="preserve"> PCG emphasized that 1 GW of new large load can drive a 1% rate reduction for existing customers, validating the customer affordability argument that DTE makes for Oracle (~$300M annual benefits) and Google (~$1.7B over contract life). </w:t>
      </w:r>
      <w:r>
        <w:rPr>
          <w:rFonts w:ascii="Calibri" w:hAnsi="Calibri"/>
          <w:i/>
          <w:color w:val="525866"/>
          <w:sz w:val="22"/>
        </w:rPr>
        <w:t xml:space="preserve">DTE read-through: </w:t>
      </w:r>
      <w:r>
        <w:rPr>
          <w:rFonts w:ascii="Calibri" w:hAnsi="Calibri"/>
          <w:i/>
          <w:color w:val="525866"/>
          <w:sz w:val="22"/>
        </w:rPr>
        <w:t>Directly validates DTE's regulatory strategy and the affordability argument that supports MPSC approval of the Google contract.</w:t>
      </w:r>
    </w:p>
    <w:p>
      <w:pPr>
        <w:pStyle w:val="Heading3"/>
      </w:pPr>
      <w:r>
        <w:rPr>
          <w:rFonts w:ascii="Calibri" w:hAnsi="Calibri"/>
          <w:b/>
          <w:color w:val="3B4259"/>
          <w:sz w:val="24"/>
        </w:rPr>
        <w:t>Entergy (ETR) — Investor Day (June 9, 2026)</w:t>
      </w:r>
    </w:p>
    <w:p>
      <w:r>
        <w:rPr>
          <w:rFonts w:ascii="Calibri" w:hAnsi="Calibri"/>
          <w:b/>
          <w:color w:val="525866"/>
          <w:sz w:val="22"/>
        </w:rPr>
        <w:t xml:space="preserve">Relevance: </w:t>
      </w:r>
      <w:r>
        <w:rPr>
          <w:rFonts w:ascii="Calibri" w:hAnsi="Calibri"/>
          <w:color w:val="525866"/>
          <w:sz w:val="22"/>
        </w:rPr>
        <w:t>ETR's June 9 Investor Day is the most recent major utility strategic update and provides a direct read-through on hyperscaler engagement, capital plan escalation, and long-term EPS growth visibility.</w:t>
      </w:r>
    </w:p>
    <w:p>
      <w:pPr>
        <w:pStyle w:val="ListBullet"/>
        <w:ind w:left="360" w:hanging="360"/>
      </w:pPr>
      <w:r>
        <w:rPr>
          <w:rFonts w:ascii="Calibri" w:hAnsi="Calibri"/>
          <w:b/>
          <w:color w:val="525866"/>
          <w:sz w:val="22"/>
        </w:rPr>
        <w:t>Sales growth expected to more than double over 5 years; 5-year capital plan doubled to $67B:</w:t>
      </w:r>
      <w:r>
        <w:rPr>
          <w:rFonts w:ascii="Calibri" w:hAnsi="Calibri"/>
          <w:color w:val="525866"/>
          <w:sz w:val="22"/>
        </w:rPr>
        <w:t xml:space="preserve"> ETR's electric service agreement backlog has "grown by nearly double" since two years ago. Sales growth has "doubled to 9%" from two years ago. The 5-year capital plan doubled to $67B, driving $97B of rate base by 2030 (16% rate base CAGR — "the highest rate base growth in the industry"). </w:t>
      </w:r>
      <w:r>
        <w:rPr>
          <w:rFonts w:ascii="Calibri" w:hAnsi="Calibri"/>
          <w:i/>
          <w:color w:val="525866"/>
          <w:sz w:val="22"/>
        </w:rPr>
        <w:t xml:space="preserve">DTE read-through: </w:t>
      </w:r>
      <w:r>
        <w:rPr>
          <w:rFonts w:ascii="Calibri" w:hAnsi="Calibri"/>
          <w:i/>
          <w:color w:val="525866"/>
          <w:sz w:val="22"/>
        </w:rPr>
        <w:t>Validates the scale of the data center investment cycle; DTE's $36.5B 5-year plan and 6–8% EPS CAGR are conservative relative to ETR's trajectory.</w:t>
      </w:r>
    </w:p>
    <w:p>
      <w:pPr>
        <w:pStyle w:val="ListBullet"/>
        <w:ind w:left="360" w:hanging="360"/>
      </w:pPr>
      <w:r>
        <w:rPr>
          <w:rFonts w:ascii="Calibri" w:hAnsi="Calibri"/>
          <w:b/>
          <w:color w:val="525866"/>
          <w:sz w:val="22"/>
        </w:rPr>
        <w:t>Meta 5 GW project in Richland Parish — $50B investment:</w:t>
      </w:r>
      <w:r>
        <w:rPr>
          <w:rFonts w:ascii="Calibri" w:hAnsi="Calibri"/>
          <w:color w:val="525866"/>
          <w:sz w:val="22"/>
        </w:rPr>
        <w:t xml:space="preserve"> Meta's Nat Sahlstrom described energy as "the critical feedstock into cloud and AI infrastructure" and highlighted a 5 GW, 5,000-acre, $50B data center project with ETR. AWS also expanding in Vicksburg. Hyperscalers paying for all infrastructure costs is "just table stakes." </w:t>
      </w:r>
      <w:r>
        <w:rPr>
          <w:rFonts w:ascii="Calibri" w:hAnsi="Calibri"/>
          <w:i/>
          <w:color w:val="525866"/>
          <w:sz w:val="22"/>
        </w:rPr>
        <w:t xml:space="preserve">DTE read-through: </w:t>
      </w:r>
      <w:r>
        <w:rPr>
          <w:rFonts w:ascii="Calibri" w:hAnsi="Calibri"/>
          <w:i/>
          <w:color w:val="525866"/>
          <w:sz w:val="22"/>
        </w:rPr>
        <w:t>Confirms hyperscalers are willing to commit to very large, long-term power agreements with contractual protections — directly analogous to DTE's Oracle and Google structures.</w:t>
      </w:r>
    </w:p>
    <w:p>
      <w:pPr>
        <w:pStyle w:val="ListBullet"/>
        <w:ind w:left="360" w:hanging="360"/>
      </w:pPr>
      <w:r>
        <w:rPr>
          <w:rFonts w:ascii="Calibri" w:hAnsi="Calibri"/>
          <w:b/>
          <w:color w:val="525866"/>
          <w:sz w:val="22"/>
        </w:rPr>
        <w:t>Greater than 8% EPS growth through at least 2035:</w:t>
      </w:r>
      <w:r>
        <w:rPr>
          <w:rFonts w:ascii="Calibri" w:hAnsi="Calibri"/>
          <w:color w:val="525866"/>
          <w:sz w:val="22"/>
        </w:rPr>
        <w:t xml:space="preserve"> ETR projects &gt;8% adjusted EPS CAGR through 2030 and targets the same through 2035, with the underlying growth rate described as "double digit." The 15–20 GW of potential additional capacity is "not baked into the base case." </w:t>
      </w:r>
      <w:r>
        <w:rPr>
          <w:rFonts w:ascii="Calibri" w:hAnsi="Calibri"/>
          <w:i/>
          <w:color w:val="525866"/>
          <w:sz w:val="22"/>
        </w:rPr>
        <w:t xml:space="preserve">DTE read-through: </w:t>
      </w:r>
      <w:r>
        <w:rPr>
          <w:rFonts w:ascii="Calibri" w:hAnsi="Calibri"/>
          <w:i/>
          <w:color w:val="525866"/>
          <w:sz w:val="22"/>
        </w:rPr>
        <w:t>Positive for sector re-rating; if ETR can sustain 8%+ growth, DTE's 6–8% target with upside from additional data center deals looks conservative.</w:t>
      </w:r>
    </w:p>
    <w:p>
      <w:pPr>
        <w:pStyle w:val="ListBullet"/>
        <w:ind w:left="360" w:hanging="360"/>
      </w:pPr>
      <w:r>
        <w:rPr>
          <w:rFonts w:ascii="Calibri" w:hAnsi="Calibri"/>
          <w:b/>
          <w:color w:val="525866"/>
          <w:sz w:val="22"/>
        </w:rPr>
        <w:t>Fair share plus pledge — $7B of savings for existing customers:</w:t>
      </w:r>
      <w:r>
        <w:rPr>
          <w:rFonts w:ascii="Calibri" w:hAnsi="Calibri"/>
          <w:color w:val="525866"/>
          <w:sz w:val="22"/>
        </w:rPr>
        <w:t xml:space="preserve"> ETR's data center contracts ensure customers cover incremental costs plus their share of fixed costs, generating $7B of savings for existing customers over contract lives. </w:t>
      </w:r>
      <w:r>
        <w:rPr>
          <w:rFonts w:ascii="Calibri" w:hAnsi="Calibri"/>
          <w:i/>
          <w:color w:val="525866"/>
          <w:sz w:val="22"/>
        </w:rPr>
        <w:t xml:space="preserve">DTE read-through: </w:t>
      </w:r>
      <w:r>
        <w:rPr>
          <w:rFonts w:ascii="Calibri" w:hAnsi="Calibri"/>
          <w:i/>
          <w:color w:val="525866"/>
          <w:sz w:val="22"/>
        </w:rPr>
        <w:t>Directly mirrors DTE's customer protection framework; supports MPSC approval of Google contract.</w:t>
      </w:r>
    </w:p>
    <w:p>
      <w:pPr>
        <w:pStyle w:val="Heading3"/>
      </w:pPr>
      <w:r>
        <w:rPr>
          <w:rFonts w:ascii="Calibri" w:hAnsi="Calibri"/>
          <w:b/>
          <w:color w:val="3B4259"/>
          <w:sz w:val="24"/>
        </w:rPr>
        <w:t>Duke Energy (DUK) — Q1 2026 Earnings Call (May 5, 2026)</w:t>
      </w:r>
    </w:p>
    <w:p>
      <w:r>
        <w:rPr>
          <w:rFonts w:ascii="Calibri" w:hAnsi="Calibri"/>
          <w:b/>
          <w:color w:val="525866"/>
          <w:sz w:val="22"/>
        </w:rPr>
        <w:t xml:space="preserve">Relevance: </w:t>
      </w:r>
      <w:r>
        <w:rPr>
          <w:rFonts w:ascii="Calibri" w:hAnsi="Calibri"/>
          <w:color w:val="525866"/>
          <w:sz w:val="22"/>
        </w:rPr>
        <w:t>DUK is the largest regulated utility by market cap and a direct read-through on data center ESA execution, capital plan durability, and regulatory outcomes.</w:t>
      </w:r>
    </w:p>
    <w:p>
      <w:pPr>
        <w:pStyle w:val="ListBullet"/>
        <w:ind w:left="360" w:hanging="360"/>
      </w:pPr>
      <w:r>
        <w:rPr>
          <w:rFonts w:ascii="Calibri" w:hAnsi="Calibri"/>
          <w:b/>
          <w:color w:val="525866"/>
          <w:sz w:val="22"/>
        </w:rPr>
        <w:t>7.6 GW of data center ESAs signed; 5 GW under construction:</w:t>
      </w:r>
      <w:r>
        <w:rPr>
          <w:rFonts w:ascii="Calibri" w:hAnsi="Calibri"/>
          <w:color w:val="525866"/>
          <w:sz w:val="22"/>
        </w:rPr>
        <w:t xml:space="preserve"> DUK signed an additional 2.7 GW of ESAs in Q1 2026, bringing total executed agreements to ~7.6 GW. Nearly two-thirds (~5 GW) are already under construction. DUK expects these customers to begin taking energy as early as H2 2027. Late-stage, high-confidence pipeline stands at 15.4 GW. </w:t>
      </w:r>
      <w:r>
        <w:rPr>
          <w:rFonts w:ascii="Calibri" w:hAnsi="Calibri"/>
          <w:i/>
          <w:color w:val="525866"/>
          <w:sz w:val="22"/>
        </w:rPr>
        <w:t xml:space="preserve">DTE read-through: </w:t>
      </w:r>
      <w:r>
        <w:rPr>
          <w:rFonts w:ascii="Calibri" w:hAnsi="Calibri"/>
          <w:i/>
          <w:color w:val="525866"/>
          <w:sz w:val="22"/>
        </w:rPr>
        <w:t>Confirms the data center build cycle is real and accelerating; DTE's Oracle (under construction) and Google (pending approval) are ahead of many peers in execution.</w:t>
      </w:r>
    </w:p>
    <w:p>
      <w:pPr>
        <w:pStyle w:val="ListBullet"/>
        <w:ind w:left="360" w:hanging="360"/>
      </w:pPr>
      <w:r>
        <w:rPr>
          <w:rFonts w:ascii="Calibri" w:hAnsi="Calibri"/>
          <w:b/>
          <w:color w:val="525866"/>
          <w:sz w:val="22"/>
        </w:rPr>
        <w:t>FY 2026 guidance of $6.55–$6.80 reaffirmed; 5–7% EPS growth through 2030:</w:t>
      </w:r>
      <w:r>
        <w:rPr>
          <w:rFonts w:ascii="Calibri" w:hAnsi="Calibri"/>
          <w:color w:val="525866"/>
          <w:sz w:val="22"/>
        </w:rPr>
        <w:t xml:space="preserve"> DUK reaffirmed guidance and expressed "increased confidence" in delivering in the top half of the range beginning in 2028 when data center load ramps. $103B capital plan supported by $5B+ in asset sale proceeds. </w:t>
      </w:r>
      <w:r>
        <w:rPr>
          <w:rFonts w:ascii="Calibri" w:hAnsi="Calibri"/>
          <w:i/>
          <w:color w:val="525866"/>
          <w:sz w:val="22"/>
        </w:rPr>
        <w:t xml:space="preserve">DTE read-through: </w:t>
      </w:r>
      <w:r>
        <w:rPr>
          <w:rFonts w:ascii="Calibri" w:hAnsi="Calibri"/>
          <w:i/>
          <w:color w:val="525866"/>
          <w:sz w:val="22"/>
        </w:rPr>
        <w:t>Positive sector tone; DUK's confidence in back-half acceleration mirrors DTE's H2 2026 recovery thesis.</w:t>
      </w:r>
    </w:p>
    <w:p>
      <w:pPr>
        <w:pStyle w:val="ListBullet"/>
        <w:ind w:left="360" w:hanging="360"/>
      </w:pPr>
      <w:r>
        <w:rPr>
          <w:rFonts w:ascii="Calibri" w:hAnsi="Calibri"/>
          <w:b/>
          <w:color w:val="525866"/>
          <w:sz w:val="22"/>
        </w:rPr>
        <w:t>Contract structures with minimum demand provisions and termination charges:</w:t>
      </w:r>
      <w:r>
        <w:rPr>
          <w:rFonts w:ascii="Calibri" w:hAnsi="Calibri"/>
          <w:color w:val="525866"/>
          <w:sz w:val="22"/>
        </w:rPr>
        <w:t xml:space="preserve"> DUK has developed contract structures with "minimum demand provisions, credit support, refundable capital advances and termination charges" to ensure large customers pay their fair share. </w:t>
      </w:r>
      <w:r>
        <w:rPr>
          <w:rFonts w:ascii="Calibri" w:hAnsi="Calibri"/>
          <w:i/>
          <w:color w:val="525866"/>
          <w:sz w:val="22"/>
        </w:rPr>
        <w:t xml:space="preserve">DTE read-through: </w:t>
      </w:r>
      <w:r>
        <w:rPr>
          <w:rFonts w:ascii="Calibri" w:hAnsi="Calibri"/>
          <w:i/>
          <w:color w:val="525866"/>
          <w:sz w:val="22"/>
        </w:rPr>
        <w:t>Validates DTE's Oracle and Google contract structures; regulatory risk is manageable.</w:t>
      </w:r>
    </w:p>
    <w:p>
      <w:pPr>
        <w:pStyle w:val="ListBullet"/>
        <w:ind w:left="360" w:hanging="360"/>
      </w:pPr>
      <w:r>
        <w:rPr>
          <w:rFonts w:ascii="Calibri" w:hAnsi="Calibri"/>
          <w:b/>
          <w:color w:val="525866"/>
          <w:sz w:val="22"/>
        </w:rPr>
        <w:t>$3.1B tax credit monetization agreement:</w:t>
      </w:r>
      <w:r>
        <w:rPr>
          <w:rFonts w:ascii="Calibri" w:hAnsi="Calibri"/>
          <w:color w:val="525866"/>
          <w:sz w:val="22"/>
        </w:rPr>
        <w:t xml:space="preserve"> DUK reached a multiyear agreement to monetize up to $3.1B of clean energy tax credits through 2028, with proceeds flowing to customers. </w:t>
      </w:r>
      <w:r>
        <w:rPr>
          <w:rFonts w:ascii="Calibri" w:hAnsi="Calibri"/>
          <w:i/>
          <w:color w:val="525866"/>
          <w:sz w:val="22"/>
        </w:rPr>
        <w:t xml:space="preserve">DTE read-through: </w:t>
      </w:r>
      <w:r>
        <w:rPr>
          <w:rFonts w:ascii="Calibri" w:hAnsi="Calibri"/>
          <w:i/>
          <w:color w:val="525866"/>
          <w:sz w:val="22"/>
        </w:rPr>
        <w:t>DTE's 45Z RNG tax credits serve a similar function — providing flexibility to achieve the high end of guidance.</w:t>
      </w:r>
    </w:p>
    <w:p>
      <w:pPr>
        <w:pStyle w:val="Heading3"/>
      </w:pPr>
      <w:r>
        <w:rPr>
          <w:rFonts w:ascii="Calibri" w:hAnsi="Calibri"/>
          <w:b/>
          <w:color w:val="3B4259"/>
          <w:sz w:val="24"/>
        </w:rPr>
        <w:t>American Electric Power (AEP) — Q1 2026 Earnings Call (May 5, 2026)</w:t>
      </w:r>
    </w:p>
    <w:p>
      <w:r>
        <w:rPr>
          <w:rFonts w:ascii="Calibri" w:hAnsi="Calibri"/>
          <w:b/>
          <w:color w:val="525866"/>
          <w:sz w:val="22"/>
        </w:rPr>
        <w:t xml:space="preserve">Relevance: </w:t>
      </w:r>
      <w:r>
        <w:rPr>
          <w:rFonts w:ascii="Calibri" w:hAnsi="Calibri"/>
          <w:color w:val="525866"/>
          <w:sz w:val="22"/>
        </w:rPr>
        <w:t>AEP has the largest contracted data center load pipeline in the sector (63 GW) and provides the most aggressive read-through on demand scale and capital plan escalation.</w:t>
      </w:r>
    </w:p>
    <w:p>
      <w:pPr>
        <w:pStyle w:val="ListBullet"/>
        <w:ind w:left="360" w:hanging="360"/>
      </w:pPr>
      <w:r>
        <w:rPr>
          <w:rFonts w:ascii="Calibri" w:hAnsi="Calibri"/>
          <w:b/>
          <w:color w:val="525866"/>
          <w:sz w:val="22"/>
        </w:rPr>
        <w:t>63 GW of contracted load (up from 56 GW last quarter); 5-year plan raised to $78B:</w:t>
      </w:r>
      <w:r>
        <w:rPr>
          <w:rFonts w:ascii="Calibri" w:hAnsi="Calibri"/>
          <w:color w:val="525866"/>
          <w:sz w:val="22"/>
        </w:rPr>
        <w:t xml:space="preserve"> AEP contracted an additional 7 GW in Q1 2026, bringing total incremental contracted load to 63 GW by 2030 (90% data centers/hyperscalers). 5-year capital plan raised by $6B to $78B, driving an 11% rate base CAGR. Long-term EPS CAGR raised to "greater than 9%." </w:t>
      </w:r>
      <w:r>
        <w:rPr>
          <w:rFonts w:ascii="Calibri" w:hAnsi="Calibri"/>
          <w:i/>
          <w:color w:val="525866"/>
          <w:sz w:val="22"/>
        </w:rPr>
        <w:t xml:space="preserve">DTE read-through: </w:t>
      </w:r>
      <w:r>
        <w:rPr>
          <w:rFonts w:ascii="Calibri" w:hAnsi="Calibri"/>
          <w:i/>
          <w:color w:val="525866"/>
          <w:sz w:val="22"/>
        </w:rPr>
        <w:t>The scale of AEP's pipeline validates that DTE's ~5 GW total opportunity (Oracle + Google + 2 GW advanced + 3–4 GW pipeline) is conservative; demand is real and growing.</w:t>
      </w:r>
    </w:p>
    <w:p>
      <w:pPr>
        <w:pStyle w:val="ListBullet"/>
        <w:ind w:left="360" w:hanging="360"/>
      </w:pPr>
      <w:r>
        <w:rPr>
          <w:rFonts w:ascii="Calibri" w:hAnsi="Calibri"/>
          <w:b/>
          <w:color w:val="525866"/>
          <w:sz w:val="22"/>
        </w:rPr>
        <w:t>FY 2026 operating EPS guidance of $6.15–$6.45 reaffirmed; 7–9% growth through 2030:</w:t>
      </w:r>
      <w:r>
        <w:rPr>
          <w:rFonts w:ascii="Calibri" w:hAnsi="Calibri"/>
          <w:color w:val="525866"/>
          <w:sz w:val="22"/>
        </w:rPr>
        <w:t xml:space="preserve"> AEP reported Q1 2026 operating EPS of $1.64 and reaffirmed full-year guidance. Regulated earned ROE increased to 9.3% and expected to reach ~9.5% by 2030. </w:t>
      </w:r>
      <w:r>
        <w:rPr>
          <w:rFonts w:ascii="Calibri" w:hAnsi="Calibri"/>
          <w:i/>
          <w:color w:val="525866"/>
          <w:sz w:val="22"/>
        </w:rPr>
        <w:t xml:space="preserve">DTE read-through: </w:t>
      </w:r>
      <w:r>
        <w:rPr>
          <w:rFonts w:ascii="Calibri" w:hAnsi="Calibri"/>
          <w:i/>
          <w:color w:val="525866"/>
          <w:sz w:val="22"/>
        </w:rPr>
        <w:t>Positive sector execution; utilities are delivering on guidance despite elevated CapEx.</w:t>
      </w:r>
    </w:p>
    <w:p>
      <w:pPr>
        <w:pStyle w:val="ListBullet"/>
        <w:ind w:left="360" w:hanging="360"/>
      </w:pPr>
      <w:r>
        <w:rPr>
          <w:rFonts w:ascii="Calibri" w:hAnsi="Calibri"/>
          <w:b/>
          <w:color w:val="525866"/>
          <w:sz w:val="22"/>
        </w:rPr>
        <w:t>PJM interconnection concerns:</w:t>
      </w:r>
      <w:r>
        <w:rPr>
          <w:rFonts w:ascii="Calibri" w:hAnsi="Calibri"/>
          <w:color w:val="525866"/>
          <w:sz w:val="22"/>
        </w:rPr>
        <w:t xml:space="preserve"> AEP expressed concern that PJM's "performance and stakeholder approval process does not give me great confidence that these issues will be resolved anytime soon" and is reviewing its PJM membership. </w:t>
      </w:r>
      <w:r>
        <w:rPr>
          <w:rFonts w:ascii="Calibri" w:hAnsi="Calibri"/>
          <w:i/>
          <w:color w:val="525866"/>
          <w:sz w:val="22"/>
        </w:rPr>
        <w:t xml:space="preserve">DTE read-through: </w:t>
      </w:r>
      <w:r>
        <w:rPr>
          <w:rFonts w:ascii="Calibri" w:hAnsi="Calibri"/>
          <w:i/>
          <w:color w:val="525866"/>
          <w:sz w:val="22"/>
        </w:rPr>
        <w:t>DTE operates in MISO (not PJM), so this is not a direct risk; DTE's Michigan regulatory environment is more constructive.</w:t>
      </w:r>
    </w:p>
    <w:p>
      <w:pPr>
        <w:pStyle w:val="Heading3"/>
      </w:pPr>
      <w:r>
        <w:rPr>
          <w:rFonts w:ascii="Calibri" w:hAnsi="Calibri"/>
          <w:b/>
          <w:color w:val="3B4259"/>
          <w:sz w:val="24"/>
        </w:rPr>
        <w:t>PPL Corporation (PPL) — Q1 2026 Earnings Call (May 8, 2026)</w:t>
      </w:r>
    </w:p>
    <w:p>
      <w:r>
        <w:rPr>
          <w:rFonts w:ascii="Calibri" w:hAnsi="Calibri"/>
          <w:b/>
          <w:color w:val="525866"/>
          <w:sz w:val="22"/>
        </w:rPr>
        <w:t xml:space="preserve">Relevance: </w:t>
      </w:r>
      <w:r>
        <w:rPr>
          <w:rFonts w:ascii="Calibri" w:hAnsi="Calibri"/>
          <w:color w:val="525866"/>
          <w:sz w:val="22"/>
        </w:rPr>
        <w:t>PPL's Pennsylvania and Kentucky service territories are experiencing significant data center growth; its Q1 2026 call provides a read-through on pipeline quality, regulatory outcomes, and the Blackstone JV for behind-the-meter generation.</w:t>
      </w:r>
    </w:p>
    <w:p>
      <w:pPr>
        <w:pStyle w:val="ListBullet"/>
        <w:ind w:left="360" w:hanging="360"/>
      </w:pPr>
      <w:r>
        <w:rPr>
          <w:rFonts w:ascii="Calibri" w:hAnsi="Calibri"/>
          <w:b/>
          <w:color w:val="525866"/>
          <w:sz w:val="22"/>
        </w:rPr>
        <w:t>28.3 GW in advanced planning stages in Pennsylvania (+12% from year-end); 10 GW with signed ESAs:</w:t>
      </w:r>
      <w:r>
        <w:rPr>
          <w:rFonts w:ascii="Calibri" w:hAnsi="Calibri"/>
          <w:color w:val="525866"/>
          <w:sz w:val="22"/>
        </w:rPr>
        <w:t xml:space="preserve"> PPL's Pennsylvania data center pipeline grew to 28.3 GW with 10 GW having signed ESAs (including QTS, AWS, PowerHouse, CoreWeave). 5 GW already under construction. Kentucky pipeline at 12.9 GW (+4 GW from year-end). </w:t>
      </w:r>
      <w:r>
        <w:rPr>
          <w:rFonts w:ascii="Calibri" w:hAnsi="Calibri"/>
          <w:i/>
          <w:color w:val="525866"/>
          <w:sz w:val="22"/>
        </w:rPr>
        <w:t xml:space="preserve">DTE read-through: </w:t>
      </w:r>
      <w:r>
        <w:rPr>
          <w:rFonts w:ascii="Calibri" w:hAnsi="Calibri"/>
          <w:i/>
          <w:color w:val="525866"/>
          <w:sz w:val="22"/>
        </w:rPr>
        <w:t>Confirms broad-based hyperscaler demand; DTE's Michigan pipeline is smaller but more advanced in execution (Oracle under construction, Google pending approval).</w:t>
      </w:r>
    </w:p>
    <w:p>
      <w:pPr>
        <w:pStyle w:val="ListBullet"/>
        <w:ind w:left="360" w:hanging="360"/>
      </w:pPr>
      <w:r>
        <w:rPr>
          <w:rFonts w:ascii="Calibri" w:hAnsi="Calibri"/>
          <w:b/>
          <w:color w:val="525866"/>
          <w:sz w:val="22"/>
        </w:rPr>
        <w:t>FY 2026 ongoing EPS guidance of $1.90–$1.98 reaffirmed; 6–8% EPS growth through 2029:</w:t>
      </w:r>
      <w:r>
        <w:rPr>
          <w:rFonts w:ascii="Calibri" w:hAnsi="Calibri"/>
          <w:color w:val="525866"/>
          <w:sz w:val="22"/>
        </w:rPr>
        <w:t xml:space="preserve"> PPL reaffirmed guidance and long-term targets with compound growth expected near the top end of the 6–8% range. $23B capital plan through 2029 (10.3% rate base CAGR). </w:t>
      </w:r>
      <w:r>
        <w:rPr>
          <w:rFonts w:ascii="Calibri" w:hAnsi="Calibri"/>
          <w:i/>
          <w:color w:val="525866"/>
          <w:sz w:val="22"/>
        </w:rPr>
        <w:t xml:space="preserve">DTE read-through: </w:t>
      </w:r>
      <w:r>
        <w:rPr>
          <w:rFonts w:ascii="Calibri" w:hAnsi="Calibri"/>
          <w:i/>
          <w:color w:val="525866"/>
          <w:sz w:val="22"/>
        </w:rPr>
        <w:t>Positive sector tone; PPL's top-end confidence mirrors DTE's high-end guidance confidence.</w:t>
      </w:r>
    </w:p>
    <w:p>
      <w:pPr>
        <w:pStyle w:val="ListBullet"/>
        <w:ind w:left="360" w:hanging="360"/>
      </w:pPr>
      <w:r>
        <w:rPr>
          <w:rFonts w:ascii="Calibri" w:hAnsi="Calibri"/>
          <w:b/>
          <w:color w:val="525866"/>
          <w:sz w:val="22"/>
        </w:rPr>
        <w:t>Blackstone JV for behind-the-meter generation gaining momentum:</w:t>
      </w:r>
      <w:r>
        <w:rPr>
          <w:rFonts w:ascii="Calibri" w:hAnsi="Calibri"/>
          <w:color w:val="525866"/>
          <w:sz w:val="22"/>
        </w:rPr>
        <w:t xml:space="preserve"> PPL's JV with Blackstone is executing gas turbine reservation agreements and submitting PJM interconnection requests. PPL "will not build without signed ESSAs" and expects "something meaningful to announce this year." </w:t>
      </w:r>
      <w:r>
        <w:rPr>
          <w:rFonts w:ascii="Calibri" w:hAnsi="Calibri"/>
          <w:i/>
          <w:color w:val="525866"/>
          <w:sz w:val="22"/>
        </w:rPr>
        <w:t xml:space="preserve">DTE read-through: </w:t>
      </w:r>
      <w:r>
        <w:rPr>
          <w:rFonts w:ascii="Calibri" w:hAnsi="Calibri"/>
          <w:i/>
          <w:color w:val="525866"/>
          <w:sz w:val="22"/>
        </w:rPr>
        <w:t>Directly analogous to DTE Vantage's ~350 MW behind-the-meter data center project; validates the behind-the-meter vertical as a real opportunity.</w:t>
      </w:r>
    </w:p>
    <w:p>
      <w:pPr>
        <w:pStyle w:val="ListBullet"/>
        <w:ind w:left="360" w:hanging="360"/>
      </w:pPr>
      <w:r>
        <w:rPr>
          <w:rFonts w:ascii="Calibri" w:hAnsi="Calibri"/>
          <w:b/>
          <w:color w:val="525866"/>
          <w:sz w:val="22"/>
        </w:rPr>
        <w:t>Pennsylvania rate case settlement: &lt;4% bill increase after 10+ years:</w:t>
      </w:r>
      <w:r>
        <w:rPr>
          <w:rFonts w:ascii="Calibri" w:hAnsi="Calibri"/>
          <w:color w:val="525866"/>
          <w:sz w:val="22"/>
        </w:rPr>
        <w:t xml:space="preserve"> PPL reached a constructive settlement with a 2-year stay-out period and a new large load customer rate class with 10-year load requirements and financial commitments. </w:t>
      </w:r>
      <w:r>
        <w:rPr>
          <w:rFonts w:ascii="Calibri" w:hAnsi="Calibri"/>
          <w:i/>
          <w:color w:val="525866"/>
          <w:sz w:val="22"/>
        </w:rPr>
        <w:t xml:space="preserve">DTE read-through: </w:t>
      </w:r>
      <w:r>
        <w:rPr>
          <w:rFonts w:ascii="Calibri" w:hAnsi="Calibri"/>
          <w:i/>
          <w:color w:val="525866"/>
          <w:sz w:val="22"/>
        </w:rPr>
        <w:t>Validates DTE's proposed rate case delay mechanism (no new filing until at least 2028 if Oracle ramps); constructive regulatory outcomes are achievable.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the Q1 2026 print. The only Form 4 activity consists of routine director phantom stock awards (deferred compensation) and phantom-to-common stock conversions at annual meeting — </w:t>
      </w:r>
      <w:r>
        <w:rPr>
          <w:rFonts w:ascii="Calibri" w:hAnsi="Calibri"/>
          <w:b/>
          <w:color w:val="525866"/>
          <w:sz w:val="22"/>
        </w:rPr>
        <w:t>no meaningful insider signal</w:t>
      </w:r>
      <w:r>
        <w:rPr>
          <w:rFonts w:ascii="Calibri" w:hAnsi="Calibri"/>
          <w:color w:val="525866"/>
          <w:sz w:val="22"/>
        </w:rPr>
        <w:t xml:space="preserve"> either way.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Amount (Shares)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Muschong, Lisa A.</w:t>
            </w:r>
          </w:p>
        </w:tc>
        <w:tc>
          <w:tcPr>
            <w:tcW w:type="dxa" w:w="1440"/>
          </w:tcPr>
          <w:p>
            <w:r>
              <w:rPr>
                <w:rFonts w:ascii="Calibri" w:hAnsi="Calibri"/>
                <w:sz w:val="22"/>
              </w:rPr>
              <w:t>VP, Corp Sec &amp; Chief of Staff</w:t>
            </w:r>
          </w:p>
        </w:tc>
        <w:tc>
          <w:tcPr>
            <w:tcW w:type="dxa" w:w="1440"/>
          </w:tcPr>
          <w:p>
            <w:r>
              <w:rPr>
                <w:rFonts w:ascii="Calibri" w:hAnsi="Calibri"/>
                <w:sz w:val="22"/>
              </w:rPr>
              <w:t>Open Market Sale (Code S)</w:t>
            </w:r>
          </w:p>
        </w:tc>
        <w:tc>
          <w:tcPr>
            <w:tcW w:type="dxa" w:w="1440"/>
          </w:tcPr>
          <w:p>
            <w:r>
              <w:rPr>
                <w:rFonts w:ascii="Calibri" w:hAnsi="Calibri"/>
                <w:sz w:val="22"/>
              </w:rPr>
              <w:t>1,000 shares</w:t>
            </w:r>
          </w:p>
        </w:tc>
        <w:tc>
          <w:tcPr>
            <w:tcW w:type="dxa" w:w="1440"/>
          </w:tcPr>
          <w:p>
            <w:r>
              <w:rPr>
                <w:rFonts w:ascii="Calibri" w:hAnsi="Calibri"/>
                <w:sz w:val="22"/>
              </w:rPr>
              <w:t>May 14, 2026</w:t>
            </w:r>
          </w:p>
        </w:tc>
        <w:tc>
          <w:tcPr>
            <w:tcW w:type="dxa" w:w="1440"/>
          </w:tcPr>
          <w:p>
            <w:r>
              <w:rPr>
                <w:rFonts w:ascii="Calibri" w:hAnsi="Calibri"/>
                <w:sz w:val="22"/>
              </w:rPr>
              <w:t>Discretionary sale; not flagged as 10b5-1 plan. Modest size (~$140K at ~$140/share). Not unusual for VP-level.</w:t>
            </w:r>
          </w:p>
        </w:tc>
      </w:tr>
      <w:tr>
        <w:tc>
          <w:tcPr>
            <w:tcW w:type="dxa" w:w="1440"/>
          </w:tcPr>
          <w:p>
            <w:r>
              <w:rPr>
                <w:rFonts w:ascii="Calibri" w:hAnsi="Calibri"/>
                <w:sz w:val="22"/>
              </w:rPr>
              <w:t>BRANDON, David</w:t>
            </w:r>
          </w:p>
        </w:tc>
        <w:tc>
          <w:tcPr>
            <w:tcW w:type="dxa" w:w="1440"/>
          </w:tcPr>
          <w:p>
            <w:r>
              <w:rPr>
                <w:rFonts w:ascii="Calibri" w:hAnsi="Calibri"/>
                <w:sz w:val="22"/>
              </w:rPr>
              <w:t>Director</w:t>
            </w:r>
          </w:p>
        </w:tc>
        <w:tc>
          <w:tcPr>
            <w:tcW w:type="dxa" w:w="1440"/>
          </w:tcPr>
          <w:p>
            <w:r>
              <w:rPr>
                <w:rFonts w:ascii="Calibri" w:hAnsi="Calibri"/>
                <w:sz w:val="22"/>
              </w:rPr>
              <w:t>Award — Phantom Stock (Def Dir Fees)</w:t>
            </w:r>
          </w:p>
        </w:tc>
        <w:tc>
          <w:tcPr>
            <w:tcW w:type="dxa" w:w="1440"/>
          </w:tcPr>
          <w:p>
            <w:r>
              <w:rPr>
                <w:rFonts w:ascii="Calibri" w:hAnsi="Calibri"/>
                <w:sz w:val="22"/>
              </w:rPr>
              <w:t>240.75 units (Jul 1); 1,230 units (May 7)</w:t>
            </w:r>
          </w:p>
        </w:tc>
        <w:tc>
          <w:tcPr>
            <w:tcW w:type="dxa" w:w="1440"/>
          </w:tcPr>
          <w:p>
            <w:r>
              <w:rPr>
                <w:rFonts w:ascii="Calibri" w:hAnsi="Calibri"/>
                <w:sz w:val="22"/>
              </w:rPr>
              <w:t>Jul 1 &amp; May 7, 2026</w:t>
            </w:r>
          </w:p>
        </w:tc>
        <w:tc>
          <w:tcPr>
            <w:tcW w:type="dxa" w:w="1440"/>
          </w:tcPr>
          <w:p>
            <w:r>
              <w:rPr>
                <w:rFonts w:ascii="Calibri" w:hAnsi="Calibri"/>
                <w:sz w:val="22"/>
              </w:rPr>
              <w:t>Routine deferred director fee conversion to phantom stock; not an open-market transaction.</w:t>
            </w:r>
          </w:p>
        </w:tc>
      </w:tr>
      <w:tr>
        <w:tc>
          <w:tcPr>
            <w:tcW w:type="dxa" w:w="1440"/>
          </w:tcPr>
          <w:p>
            <w:r>
              <w:rPr>
                <w:rFonts w:ascii="Calibri" w:hAnsi="Calibri"/>
                <w:sz w:val="22"/>
              </w:rPr>
              <w:t>TORGOW, Gary</w:t>
            </w:r>
          </w:p>
        </w:tc>
        <w:tc>
          <w:tcPr>
            <w:tcW w:type="dxa" w:w="1440"/>
          </w:tcPr>
          <w:p>
            <w:r>
              <w:rPr>
                <w:rFonts w:ascii="Calibri" w:hAnsi="Calibri"/>
                <w:sz w:val="22"/>
              </w:rPr>
              <w:t>Director</w:t>
            </w:r>
          </w:p>
        </w:tc>
        <w:tc>
          <w:tcPr>
            <w:tcW w:type="dxa" w:w="1440"/>
          </w:tcPr>
          <w:p>
            <w:r>
              <w:rPr>
                <w:rFonts w:ascii="Calibri" w:hAnsi="Calibri"/>
                <w:sz w:val="22"/>
              </w:rPr>
              <w:t>Award — Phantom Stock (Def Dir Fees)</w:t>
            </w:r>
          </w:p>
        </w:tc>
        <w:tc>
          <w:tcPr>
            <w:tcW w:type="dxa" w:w="1440"/>
          </w:tcPr>
          <w:p>
            <w:r>
              <w:rPr>
                <w:rFonts w:ascii="Calibri" w:hAnsi="Calibri"/>
                <w:sz w:val="22"/>
              </w:rPr>
              <w:t>240.75 units (Jul 1); 1,230 units (May 7)</w:t>
            </w:r>
          </w:p>
        </w:tc>
        <w:tc>
          <w:tcPr>
            <w:tcW w:type="dxa" w:w="1440"/>
          </w:tcPr>
          <w:p>
            <w:r>
              <w:rPr>
                <w:rFonts w:ascii="Calibri" w:hAnsi="Calibri"/>
                <w:sz w:val="22"/>
              </w:rPr>
              <w:t>Jul 1 &amp; May 7, 2026</w:t>
            </w:r>
          </w:p>
        </w:tc>
        <w:tc>
          <w:tcPr>
            <w:tcW w:type="dxa" w:w="1440"/>
          </w:tcPr>
          <w:p>
            <w:r>
              <w:rPr>
                <w:rFonts w:ascii="Calibri" w:hAnsi="Calibri"/>
                <w:sz w:val="22"/>
              </w:rPr>
              <w:t>Routine deferred director fee conversion; not an open-market transaction.</w:t>
            </w:r>
          </w:p>
        </w:tc>
      </w:tr>
      <w:tr>
        <w:tc>
          <w:tcPr>
            <w:tcW w:type="dxa" w:w="1440"/>
          </w:tcPr>
          <w:p>
            <w:r>
              <w:rPr>
                <w:rFonts w:ascii="Calibri" w:hAnsi="Calibri"/>
                <w:sz w:val="22"/>
              </w:rPr>
              <w:t>Multiple Directors (Akins, Byers, McClure, McGovern, Murray, Santos, Skaggs, Thomas, Williams)</w:t>
            </w:r>
          </w:p>
        </w:tc>
        <w:tc>
          <w:tcPr>
            <w:tcW w:type="dxa" w:w="1440"/>
          </w:tcPr>
          <w:p>
            <w:r>
              <w:rPr>
                <w:rFonts w:ascii="Calibri" w:hAnsi="Calibri"/>
                <w:sz w:val="22"/>
              </w:rPr>
              <w:t>Directors</w:t>
            </w:r>
          </w:p>
        </w:tc>
        <w:tc>
          <w:tcPr>
            <w:tcW w:type="dxa" w:w="1440"/>
          </w:tcPr>
          <w:p>
            <w:r>
              <w:rPr>
                <w:rFonts w:ascii="Calibri" w:hAnsi="Calibri"/>
                <w:sz w:val="22"/>
              </w:rPr>
              <w:t>Award — Phantom Stock (Code A) / Phantom-to-Common Conversion (Code M/D)</w:t>
            </w:r>
          </w:p>
        </w:tc>
        <w:tc>
          <w:tcPr>
            <w:tcW w:type="dxa" w:w="1440"/>
          </w:tcPr>
          <w:p>
            <w:r>
              <w:rPr>
                <w:rFonts w:ascii="Calibri" w:hAnsi="Calibri"/>
                <w:sz w:val="22"/>
              </w:rPr>
              <w:t>1,230 units awarded (May 7); 1,424.83 units converted (May 4)</w:t>
            </w:r>
          </w:p>
        </w:tc>
        <w:tc>
          <w:tcPr>
            <w:tcW w:type="dxa" w:w="1440"/>
          </w:tcPr>
          <w:p>
            <w:r>
              <w:rPr>
                <w:rFonts w:ascii="Calibri" w:hAnsi="Calibri"/>
                <w:sz w:val="22"/>
              </w:rPr>
              <w:t>May 4–8, 2026</w:t>
            </w:r>
          </w:p>
        </w:tc>
        <w:tc>
          <w:tcPr>
            <w:tcW w:type="dxa" w:w="1440"/>
          </w:tcPr>
          <w:p>
            <w:r>
              <w:rPr>
                <w:rFonts w:ascii="Calibri" w:hAnsi="Calibri"/>
                <w:sz w:val="22"/>
              </w:rPr>
              <w:t>Annual meeting-related phantom stock awards and routine phantom-to-common conversions (Code M = exercise/conversion; Code D = disposition of derivative). Standard annual director compensation cycle; not open-market transactions.</w:t>
            </w:r>
          </w:p>
        </w:tc>
      </w:tr>
    </w:tbl>
    <w:p>
      <w:r>
        <w:rPr>
          <w:rFonts w:ascii="Calibri" w:hAnsi="Calibri"/>
          <w:color w:val="525866"/>
          <w:sz w:val="22"/>
        </w:rPr>
        <w:t xml:space="preserve">The only open-market transaction by a named executive is Lisa Muschong's 1,000-share sale on May 14, 2026 — a modest, discretionary sale by a VP-level officer that is not unusual and carries no meaningful signal. All other Form 4 activity consists of routine director deferred compensation awards (phantom stock) and annual meeting-related phantom-to-common conversions, none of which represent open-market buying or selling. There are no clustered buys, no unusual sale sizes, and no 10b5-1 plan initiations flagged in the period. </w:t>
      </w:r>
      <w:r>
        <w:rPr>
          <w:rFonts w:ascii="Calibri" w:hAnsi="Calibri"/>
          <w:b/>
          <w:color w:val="525866"/>
          <w:sz w:val="22"/>
        </w:rPr>
        <w:t>Insider activity is neutral.</w:t>
      </w:r>
    </w:p>
    <w:p>
      <w:r>
        <w:rPr>
          <w:rFonts w:ascii="Calibri" w:hAnsi="Calibri"/>
          <w:i/>
          <w:color w:val="525866"/>
          <w:sz w:val="22"/>
        </w:rPr>
        <w:t>Source: Insider Transaction Data (SEC Form 4 filings, April 30 – July 28, 2026).</w:t>
      </w:r>
    </w:p>
    <w:p>
      <w:r>
        <w:rPr>
          <w:rFonts w:ascii="Calibri" w:hAnsi="Calibri"/>
          <w:b/>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