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DTE Energy Company (DTE)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DTE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9:00 AM ET</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r>
        <w:tc>
          <w:tcPr>
            <w:tcW w:type="dxa" w:w="4320"/>
          </w:tcPr>
          <w:p>
            <w:r>
              <w:rPr>
                <w:rFonts w:ascii="Calibri" w:hAnsi="Calibri"/>
                <w:b/>
                <w:sz w:val="22"/>
              </w:rPr>
              <w:t>Sector ETF Benchmark</w:t>
            </w:r>
          </w:p>
        </w:tc>
        <w:tc>
          <w:tcPr>
            <w:tcW w:type="dxa" w:w="4320"/>
          </w:tcPr>
          <w:p>
            <w:r>
              <w:rPr>
                <w:rFonts w:ascii="Calibri" w:hAnsi="Calibri"/>
                <w:sz w:val="22"/>
              </w:rPr>
              <w:t>XLU (Utilities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sits at a low bar on Operating EPS ($1.14 vs. $1.36 actual in Q2 2025) after a sharp downward revision in July, and the single biggest swing factor is whether Energy Trading timing reversal and the DTE Vantage behind-the-meter deal announcement materialize as management guided on the Q1 call.</w:t>
      </w:r>
    </w:p>
    <w:p>
      <w:r>
        <w:rPr>
          <w:rFonts w:ascii="Calibri" w:hAnsi="Calibri"/>
          <w:color w:val="525866"/>
          <w:sz w:val="22"/>
        </w:rPr>
        <w:t xml:space="preserve">Heading into Q2 2026, DTE faces a consensus bar that has been reset sharply lower — the July month-end Operating EPS estimate of $1.14 compares to $1.36 reported in Q2 2025, a meaningful step-down that management's own full-year guidance of $7.59–$7.73 implies should be recovered in the back half. </w:t>
      </w:r>
      <w:r>
        <w:rPr>
          <w:rFonts w:ascii="Calibri" w:hAnsi="Calibri"/>
          <w:b/>
          <w:color w:val="525866"/>
          <w:sz w:val="22"/>
        </w:rPr>
        <w:t>Management's tone on the Q1 call was unambiguously confident</w:t>
      </w:r>
      <w:r>
        <w:rPr>
          <w:rFonts w:ascii="Calibri" w:hAnsi="Calibri"/>
          <w:color w:val="525866"/>
          <w:sz w:val="22"/>
        </w:rPr>
        <w:t xml:space="preserve">: they reaffirmed the high end of the 6–8% EPS growth range through 2030, flagged Energy Trading's Q1 shortfall as pure timing expected to reverse through contracted and hedged positions, and guided to a DTE Vantage 350 MW behind-the-meter deal announcement "in the next several weeks." Estimate revisions have been broadly stable for the full year ($7.71 current vs. $7.70 post-Q1 baseline) even as the Q2 quarter-specific estimate drifted lower, suggesting the street is simply shifting earnings between quarters rather than cutting the annual view. </w:t>
      </w:r>
      <w:r>
        <w:rPr>
          <w:rFonts w:ascii="Calibri" w:hAnsi="Calibri"/>
          <w:b/>
          <w:color w:val="525866"/>
          <w:sz w:val="22"/>
        </w:rPr>
        <w:t>The stock has underperformed XLU since last earnings</w:t>
      </w:r>
      <w:r>
        <w:rPr>
          <w:rFonts w:ascii="Calibri" w:hAnsi="Calibri"/>
          <w:color w:val="525866"/>
          <w:sz w:val="22"/>
        </w:rPr>
        <w:t xml:space="preserve"> (down ~3% vs. flat for XLU on an indexed basis), leaving the multiple at 18.5x NTM P/E — a slight discount to where it started the period — which means the stock has not priced in a beat. The key wildcard is the MPSC order on the Google 1 GW data center contract, expected by September 10; any incremental commentary on timing or additional data center signings (management targeted at least one more deal before year-end) could be the dominant stock driver regardless of the Q2 print itself.</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 bar on Operating EPS — the Q2 estimate of $1.14 is well below the $1.36 Q2 2025 actual and below the Q1 2026 actual of $1.95, reflecting seasonal patterns and Energy Trading timing. The bigger swing factor is whether the Energy Trading reversal and Vantage deal close the gap to the full-year high-end target.</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Operating EPS — Diluted ($)</w:t>
            </w:r>
          </w:p>
        </w:tc>
        <w:tc>
          <w:tcPr>
            <w:tcW w:type="dxa" w:w="1234"/>
          </w:tcPr>
          <w:p>
            <w:r>
              <w:rPr>
                <w:rFonts w:ascii="Calibri" w:hAnsi="Calibri"/>
                <w:sz w:val="22"/>
              </w:rPr>
              <w:t>$1.95</w:t>
            </w:r>
          </w:p>
        </w:tc>
        <w:tc>
          <w:tcPr>
            <w:tcW w:type="dxa" w:w="1234"/>
          </w:tcPr>
          <w:p>
            <w:r>
              <w:rPr>
                <w:rFonts w:ascii="Calibri" w:hAnsi="Calibri"/>
                <w:sz w:val="22"/>
              </w:rPr>
              <w:t>$1.36</w:t>
            </w:r>
          </w:p>
        </w:tc>
        <w:tc>
          <w:tcPr>
            <w:tcW w:type="dxa" w:w="1234"/>
          </w:tcPr>
          <w:p>
            <w:r>
              <w:rPr>
                <w:rFonts w:ascii="Calibri" w:hAnsi="Calibri"/>
                <w:sz w:val="22"/>
              </w:rPr>
              <w:t>$1.14</w:t>
            </w:r>
          </w:p>
        </w:tc>
        <w:tc>
          <w:tcPr>
            <w:tcW w:type="dxa" w:w="1234"/>
          </w:tcPr>
          <w:p>
            <w:r>
              <w:rPr>
                <w:rFonts w:ascii="Calibri" w:hAnsi="Calibri"/>
                <w:b/>
                <w:color w:val="E5484D"/>
                <w:sz w:val="22"/>
              </w:rPr>
              <w:t>−16.2%</w:t>
            </w:r>
          </w:p>
        </w:tc>
        <w:tc>
          <w:tcPr>
            <w:tcW w:type="dxa" w:w="1234"/>
          </w:tcPr>
          <w:p>
            <w:r>
              <w:rPr>
                <w:rFonts w:ascii="Calibri" w:hAnsi="Calibri"/>
                <w:sz w:val="22"/>
              </w:rPr>
              <w:t>$7.59–$7.73 (mid: $7.66)</w:t>
            </w:r>
          </w:p>
        </w:tc>
        <w:tc>
          <w:tcPr>
            <w:tcW w:type="dxa" w:w="1234"/>
          </w:tcPr>
          <w:p>
            <w:r>
              <w:rPr>
                <w:rFonts w:ascii="Calibri" w:hAnsi="Calibri"/>
                <w:sz w:val="22"/>
              </w:rPr>
              <w:t>N/A (FY metric)</w:t>
            </w:r>
          </w:p>
        </w:tc>
      </w:tr>
      <w:tr>
        <w:tc>
          <w:tcPr>
            <w:tcW w:type="dxa" w:w="1234"/>
          </w:tcPr>
          <w:p>
            <w:r>
              <w:rPr>
                <w:rFonts w:ascii="Calibri" w:hAnsi="Calibri"/>
                <w:sz w:val="22"/>
              </w:rPr>
              <w:t>Electric Segment Operating EPS ($)</w:t>
            </w:r>
          </w:p>
        </w:tc>
        <w:tc>
          <w:tcPr>
            <w:tcW w:type="dxa" w:w="1234"/>
          </w:tcPr>
          <w:p>
            <w:r>
              <w:rPr>
                <w:rFonts w:ascii="Calibri" w:hAnsi="Calibri"/>
                <w:sz w:val="22"/>
              </w:rPr>
              <w:t>$1.04</w:t>
            </w:r>
          </w:p>
        </w:tc>
        <w:tc>
          <w:tcPr>
            <w:tcW w:type="dxa" w:w="1234"/>
          </w:tcPr>
          <w:p>
            <w:r>
              <w:rPr>
                <w:rFonts w:ascii="Calibri" w:hAnsi="Calibri"/>
                <w:sz w:val="22"/>
              </w:rPr>
              <w:t>$1.53</w:t>
            </w:r>
          </w:p>
        </w:tc>
        <w:tc>
          <w:tcPr>
            <w:tcW w:type="dxa" w:w="1234"/>
          </w:tcPr>
          <w:p>
            <w:r>
              <w:rPr>
                <w:rFonts w:ascii="Calibri" w:hAnsi="Calibri"/>
                <w:sz w:val="22"/>
              </w:rPr>
              <w:t>$1.22</w:t>
            </w:r>
          </w:p>
        </w:tc>
        <w:tc>
          <w:tcPr>
            <w:tcW w:type="dxa" w:w="1234"/>
          </w:tcPr>
          <w:p>
            <w:r>
              <w:rPr>
                <w:rFonts w:ascii="Calibri" w:hAnsi="Calibri"/>
                <w:b/>
                <w:color w:val="E5484D"/>
                <w:sz w:val="22"/>
              </w:rPr>
              <w:t>−20.3%</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Gas Segment Operating EPS ($)</w:t>
            </w:r>
          </w:p>
        </w:tc>
        <w:tc>
          <w:tcPr>
            <w:tcW w:type="dxa" w:w="1234"/>
          </w:tcPr>
          <w:p>
            <w:r>
              <w:rPr>
                <w:rFonts w:ascii="Calibri" w:hAnsi="Calibri"/>
                <w:sz w:val="22"/>
              </w:rPr>
              <w:t>$1.01</w:t>
            </w:r>
          </w:p>
        </w:tc>
        <w:tc>
          <w:tcPr>
            <w:tcW w:type="dxa" w:w="1234"/>
          </w:tcPr>
          <w:p>
            <w:r>
              <w:rPr>
                <w:rFonts w:ascii="Calibri" w:hAnsi="Calibri"/>
                <w:sz w:val="22"/>
              </w:rPr>
              <w:t>$0.03</w:t>
            </w:r>
          </w:p>
        </w:tc>
        <w:tc>
          <w:tcPr>
            <w:tcW w:type="dxa" w:w="1234"/>
          </w:tcPr>
          <w:p>
            <w:r>
              <w:rPr>
                <w:rFonts w:ascii="Calibri" w:hAnsi="Calibri"/>
                <w:sz w:val="22"/>
              </w:rPr>
              <w:t>$0.06</w:t>
            </w:r>
          </w:p>
        </w:tc>
        <w:tc>
          <w:tcPr>
            <w:tcW w:type="dxa" w:w="1234"/>
          </w:tcPr>
          <w:p>
            <w:r>
              <w:rPr>
                <w:rFonts w:ascii="Calibri" w:hAnsi="Calibri"/>
                <w:b/>
                <w:color w:val="30A46C"/>
                <w:sz w:val="22"/>
              </w:rPr>
              <w:t>+100%+</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Total Revenue ($B)</w:t>
            </w:r>
          </w:p>
        </w:tc>
        <w:tc>
          <w:tcPr>
            <w:tcW w:type="dxa" w:w="1234"/>
          </w:tcPr>
          <w:p>
            <w:r>
              <w:rPr>
                <w:rFonts w:ascii="Calibri" w:hAnsi="Calibri"/>
                <w:sz w:val="22"/>
              </w:rPr>
              <w:t>$5.14B</w:t>
            </w:r>
          </w:p>
        </w:tc>
        <w:tc>
          <w:tcPr>
            <w:tcW w:type="dxa" w:w="1234"/>
          </w:tcPr>
          <w:p>
            <w:r>
              <w:rPr>
                <w:rFonts w:ascii="Calibri" w:hAnsi="Calibri"/>
                <w:sz w:val="22"/>
              </w:rPr>
              <w:t>$3.42B</w:t>
            </w:r>
          </w:p>
        </w:tc>
        <w:tc>
          <w:tcPr>
            <w:tcW w:type="dxa" w:w="1234"/>
          </w:tcPr>
          <w:p>
            <w:r>
              <w:rPr>
                <w:rFonts w:ascii="Calibri" w:hAnsi="Calibri"/>
                <w:sz w:val="22"/>
              </w:rPr>
              <w:t>$3.37B</w:t>
            </w:r>
          </w:p>
        </w:tc>
        <w:tc>
          <w:tcPr>
            <w:tcW w:type="dxa" w:w="1234"/>
          </w:tcPr>
          <w:p>
            <w:r>
              <w:rPr>
                <w:rFonts w:ascii="Calibri" w:hAnsi="Calibri"/>
                <w:b/>
                <w:color w:val="E5484D"/>
                <w:sz w:val="22"/>
              </w:rPr>
              <w:t>−1.5%</w:t>
            </w:r>
          </w:p>
        </w:tc>
        <w:tc>
          <w:tcPr>
            <w:tcW w:type="dxa" w:w="1234"/>
          </w:tcPr>
          <w:p>
            <w:r>
              <w:rPr>
                <w:rFonts w:ascii="Calibri" w:hAnsi="Calibri"/>
                <w:sz w:val="22"/>
              </w:rPr>
              <w:t>N/A (no quarterly rev. guidance)</w:t>
            </w:r>
          </w:p>
        </w:tc>
        <w:tc>
          <w:tcPr>
            <w:tcW w:type="dxa" w:w="1234"/>
          </w:tcPr>
          <w:p>
            <w:r>
              <w:rPr>
                <w:rFonts w:ascii="Calibri" w:hAnsi="Calibri"/>
                <w:sz w:val="22"/>
              </w:rPr>
              <w:t>N/A</w:t>
            </w:r>
          </w:p>
        </w:tc>
      </w:tr>
      <w:tr>
        <w:tc>
          <w:tcPr>
            <w:tcW w:type="dxa" w:w="1234"/>
          </w:tcPr>
          <w:p>
            <w:r>
              <w:rPr>
                <w:rFonts w:ascii="Calibri" w:hAnsi="Calibri"/>
                <w:sz w:val="22"/>
              </w:rPr>
              <w:t>Total CapEx ($B)</w:t>
            </w:r>
          </w:p>
        </w:tc>
        <w:tc>
          <w:tcPr>
            <w:tcW w:type="dxa" w:w="1234"/>
          </w:tcPr>
          <w:p>
            <w:r>
              <w:rPr>
                <w:rFonts w:ascii="Calibri" w:hAnsi="Calibri"/>
                <w:sz w:val="22"/>
              </w:rPr>
              <w:t>$1.46B</w:t>
            </w:r>
          </w:p>
        </w:tc>
        <w:tc>
          <w:tcPr>
            <w:tcW w:type="dxa" w:w="1234"/>
          </w:tcPr>
          <w:p>
            <w:r>
              <w:rPr>
                <w:rFonts w:ascii="Calibri" w:hAnsi="Calibri"/>
                <w:sz w:val="22"/>
              </w:rPr>
              <w:t>$0.97B</w:t>
            </w:r>
          </w:p>
        </w:tc>
        <w:tc>
          <w:tcPr>
            <w:tcW w:type="dxa" w:w="1234"/>
          </w:tcPr>
          <w:p>
            <w:r>
              <w:rPr>
                <w:rFonts w:ascii="Calibri" w:hAnsi="Calibri"/>
                <w:sz w:val="22"/>
              </w:rPr>
              <w:t>$1.96B (consensus)</w:t>
            </w:r>
          </w:p>
        </w:tc>
        <w:tc>
          <w:tcPr>
            <w:tcW w:type="dxa" w:w="1234"/>
          </w:tcPr>
          <w:p>
            <w:r>
              <w:rPr>
                <w:rFonts w:ascii="Calibri" w:hAnsi="Calibri"/>
                <w:b/>
                <w:color w:val="30A46C"/>
                <w:sz w:val="22"/>
              </w:rPr>
              <w:t>+101.9%</w:t>
            </w:r>
          </w:p>
        </w:tc>
        <w:tc>
          <w:tcPr>
            <w:tcW w:type="dxa" w:w="1234"/>
          </w:tcPr>
          <w:p>
            <w:r>
              <w:rPr>
                <w:rFonts w:ascii="Calibri" w:hAnsi="Calibri"/>
                <w:sz w:val="22"/>
              </w:rPr>
              <w:t>&gt;$6B FY (on pace)</w:t>
            </w:r>
          </w:p>
        </w:tc>
        <w:tc>
          <w:tcPr>
            <w:tcW w:type="dxa" w:w="1234"/>
          </w:tcPr>
          <w:p>
            <w:r>
              <w:rPr>
                <w:rFonts w:ascii="Calibri" w:hAnsi="Calibri"/>
                <w:sz w:val="22"/>
              </w:rPr>
              <w:t>~−10% vs. FY $6.86B cons.</w:t>
            </w:r>
          </w:p>
        </w:tc>
      </w:tr>
      <w:tr>
        <w:tc>
          <w:tcPr>
            <w:tcW w:type="dxa" w:w="1234"/>
          </w:tcPr>
          <w:p>
            <w:r>
              <w:rPr>
                <w:rFonts w:ascii="Calibri" w:hAnsi="Calibri"/>
                <w:sz w:val="22"/>
              </w:rPr>
              <w:t>FFO / Total Debt (%)</w:t>
            </w:r>
          </w:p>
        </w:tc>
        <w:tc>
          <w:tcPr>
            <w:tcW w:type="dxa" w:w="1234"/>
          </w:tcPr>
          <w:p>
            <w:r>
              <w:rPr>
                <w:rFonts w:ascii="Calibri" w:hAnsi="Calibri"/>
                <w:sz w:val="22"/>
              </w:rPr>
              <w:t>~12.3% (trailing)</w:t>
            </w:r>
          </w:p>
        </w:tc>
        <w:tc>
          <w:tcPr>
            <w:tcW w:type="dxa" w:w="1234"/>
          </w:tcPr>
          <w:p>
            <w:r>
              <w:rPr>
                <w:rFonts w:ascii="Calibri" w:hAnsi="Calibri"/>
                <w:sz w:val="22"/>
              </w:rPr>
              <w:t>~12.6% (trailing)</w:t>
            </w:r>
          </w:p>
        </w:tc>
        <w:tc>
          <w:tcPr>
            <w:tcW w:type="dxa" w:w="1234"/>
          </w:tcPr>
          <w:p>
            <w:r>
              <w:rPr>
                <w:rFonts w:ascii="Calibri" w:hAnsi="Calibri"/>
                <w:sz w:val="22"/>
              </w:rPr>
              <w:t>~12.7% (consensus)</w:t>
            </w:r>
          </w:p>
        </w:tc>
        <w:tc>
          <w:tcPr>
            <w:tcW w:type="dxa" w:w="1234"/>
          </w:tcPr>
          <w:p>
            <w:r>
              <w:rPr>
                <w:rFonts w:ascii="Calibri" w:hAnsi="Calibri"/>
                <w:sz w:val="22"/>
              </w:rPr>
              <w:t>+10 bps</w:t>
            </w:r>
          </w:p>
        </w:tc>
        <w:tc>
          <w:tcPr>
            <w:tcW w:type="dxa" w:w="1234"/>
          </w:tcPr>
          <w:p>
            <w:r>
              <w:rPr>
                <w:rFonts w:ascii="Calibri" w:hAnsi="Calibri"/>
                <w:sz w:val="22"/>
              </w:rPr>
              <w:t>~15% target</w:t>
            </w:r>
          </w:p>
        </w:tc>
        <w:tc>
          <w:tcPr>
            <w:tcW w:type="dxa" w:w="1234"/>
          </w:tcPr>
          <w:p>
            <w:r>
              <w:rPr>
                <w:rFonts w:ascii="Calibri" w:hAnsi="Calibri"/>
                <w:sz w:val="22"/>
              </w:rPr>
              <w:t>~230 bps below target</w:t>
            </w:r>
          </w:p>
        </w:tc>
      </w:tr>
    </w:tbl>
    <w:p>
      <w:r>
        <w:rPr>
          <w:rFonts w:ascii="Calibri" w:hAnsi="Calibri"/>
          <w:b/>
          <w:color w:val="525866"/>
          <w:sz w:val="22"/>
        </w:rPr>
        <w:t xml:space="preserve">Sources: </w:t>
      </w:r>
      <w:r>
        <w:rPr>
          <w:rFonts w:ascii="Calibri" w:hAnsi="Calibri"/>
          <w:i/>
          <w:color w:val="525866"/>
          <w:sz w:val="22"/>
        </w:rPr>
        <w:t>Operating EPS (Diluted), Electric Segment EPS, Gas Segment EPS, Total Revenue, Total CapEx, FFO/Total Debt — Visible Alpha Consensus and Actuals Data. FY 2026 guidance confirmed on Q1 2026 earnings call (April 30, 2026) and Q1 2026 earnings release. Q2 2025 actuals and Q1 2026 actuals from Visible Alpha. Note: Q2 2026 consensus EPS of $1.14 reflects the July 2026 month-end snapshot; the June snapshot was $1.51, suggesting a sharp intra-quarter revision downward likely driven by Energy Trading timing assumptions.</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KPI 1: Operating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$1.36</w:t>
            </w:r>
          </w:p>
        </w:tc>
        <w:tc>
          <w:tcPr>
            <w:tcW w:type="dxa" w:w="1728"/>
          </w:tcPr>
          <w:p>
            <w:r>
              <w:rPr>
                <w:rFonts w:ascii="Calibri" w:hAnsi="Calibri"/>
                <w:sz w:val="22"/>
              </w:rPr>
              <w:t>$1.34</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$2.22</w:t>
            </w:r>
          </w:p>
        </w:tc>
        <w:tc>
          <w:tcPr>
            <w:tcW w:type="dxa" w:w="1728"/>
          </w:tcPr>
          <w:p>
            <w:r>
              <w:rPr>
                <w:rFonts w:ascii="Calibri" w:hAnsi="Calibri"/>
                <w:sz w:val="22"/>
              </w:rPr>
              <w:t>$1.86</w:t>
            </w:r>
          </w:p>
        </w:tc>
        <w:tc>
          <w:tcPr>
            <w:tcW w:type="dxa" w:w="1728"/>
          </w:tcPr>
          <w:p>
            <w:r>
              <w:rPr>
                <w:rFonts w:ascii="Calibri" w:hAnsi="Calibri"/>
                <w:sz w:val="22"/>
              </w:rPr>
              <w:t>+19.4%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$1.51</w:t>
            </w:r>
          </w:p>
        </w:tc>
        <w:tc>
          <w:tcPr>
            <w:tcW w:type="dxa" w:w="1728"/>
          </w:tcPr>
          <w:p>
            <w:r>
              <w:rPr>
                <w:rFonts w:ascii="Calibri" w:hAnsi="Calibri"/>
                <w:sz w:val="22"/>
              </w:rPr>
              <w:t>$1.49</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$2.10</w:t>
            </w:r>
          </w:p>
        </w:tc>
        <w:tc>
          <w:tcPr>
            <w:tcW w:type="dxa" w:w="1728"/>
          </w:tcPr>
          <w:p>
            <w:r>
              <w:rPr>
                <w:rFonts w:ascii="Calibri" w:hAnsi="Calibri"/>
                <w:sz w:val="22"/>
              </w:rPr>
              <w:t>$1.93</w:t>
            </w:r>
          </w:p>
        </w:tc>
        <w:tc>
          <w:tcPr>
            <w:tcW w:type="dxa" w:w="1728"/>
          </w:tcPr>
          <w:p>
            <w:r>
              <w:rPr>
                <w:rFonts w:ascii="Calibri" w:hAnsi="Calibri"/>
                <w:sz w:val="22"/>
              </w:rPr>
              <w:t>+8.8%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$1.36</w:t>
            </w:r>
          </w:p>
        </w:tc>
        <w:tc>
          <w:tcPr>
            <w:tcW w:type="dxa" w:w="1728"/>
          </w:tcPr>
          <w:p>
            <w:r>
              <w:rPr>
                <w:rFonts w:ascii="Calibri" w:hAnsi="Calibri"/>
                <w:sz w:val="22"/>
              </w:rPr>
              <w:t>$1.34</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$2.25</w:t>
            </w:r>
          </w:p>
        </w:tc>
        <w:tc>
          <w:tcPr>
            <w:tcW w:type="dxa" w:w="1728"/>
          </w:tcPr>
          <w:p>
            <w:r>
              <w:rPr>
                <w:rFonts w:ascii="Calibri" w:hAnsi="Calibri"/>
                <w:sz w:val="22"/>
              </w:rPr>
              <w:t>$2.15</w:t>
            </w:r>
          </w:p>
        </w:tc>
        <w:tc>
          <w:tcPr>
            <w:tcW w:type="dxa" w:w="1728"/>
          </w:tcPr>
          <w:p>
            <w:r>
              <w:rPr>
                <w:rFonts w:ascii="Calibri" w:hAnsi="Calibri"/>
                <w:sz w:val="22"/>
              </w:rPr>
              <w:t>+4.7%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$1.65</w:t>
            </w:r>
          </w:p>
        </w:tc>
        <w:tc>
          <w:tcPr>
            <w:tcW w:type="dxa" w:w="1728"/>
          </w:tcPr>
          <w:p>
            <w:r>
              <w:rPr>
                <w:rFonts w:ascii="Calibri" w:hAnsi="Calibri"/>
                <w:sz w:val="22"/>
              </w:rPr>
              <w:t>$1.52</w:t>
            </w:r>
          </w:p>
        </w:tc>
        <w:tc>
          <w:tcPr>
            <w:tcW w:type="dxa" w:w="1728"/>
          </w:tcPr>
          <w:p>
            <w:r>
              <w:rPr>
                <w:rFonts w:ascii="Calibri" w:hAnsi="Calibri"/>
                <w:sz w:val="22"/>
              </w:rPr>
              <w:t>+8.6%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$1.95</w:t>
            </w:r>
          </w:p>
        </w:tc>
        <w:tc>
          <w:tcPr>
            <w:tcW w:type="dxa" w:w="1728"/>
          </w:tcPr>
          <w:p>
            <w:r>
              <w:rPr>
                <w:rFonts w:ascii="Calibri" w:hAnsi="Calibri"/>
                <w:sz w:val="22"/>
              </w:rPr>
              <w:t>$2.07</w:t>
            </w:r>
          </w:p>
        </w:tc>
        <w:tc>
          <w:tcPr>
            <w:tcW w:type="dxa" w:w="1728"/>
          </w:tcPr>
          <w:p>
            <w:r>
              <w:rPr>
                <w:rFonts w:ascii="Calibri" w:hAnsi="Calibri"/>
                <w:sz w:val="22"/>
              </w:rPr>
              <w:t>−5.8%</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DTE beat Operating EPS consensus in 7 of the last 8 quarters, with the sole miss in Q1 2026 driven by Energy Trading timing and corporate tax timing — both flagged by management as reversible. The median beat over the prior 7 quarters was approximately +5%, suggesting the street has historically set a conservative bar. Source: Visible Alpha Consensus and Actuals Data.</w:t>
      </w:r>
    </w:p>
    <w:p>
      <w:pPr>
        <w:pStyle w:val="Heading3"/>
      </w:pPr>
      <w:r>
        <w:rPr>
          <w:rFonts w:ascii="Calibri" w:hAnsi="Calibri"/>
          <w:b/>
          <w:color w:val="3B4259"/>
          <w:sz w:val="24"/>
        </w:rPr>
        <w:t>KPI 2: Total CapEx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$0.97B</w:t>
            </w:r>
          </w:p>
        </w:tc>
        <w:tc>
          <w:tcPr>
            <w:tcW w:type="dxa" w:w="1728"/>
          </w:tcPr>
          <w:p>
            <w:r>
              <w:rPr>
                <w:rFonts w:ascii="Calibri" w:hAnsi="Calibri"/>
                <w:sz w:val="22"/>
              </w:rPr>
              <w:t>$1.28B</w:t>
            </w:r>
          </w:p>
        </w:tc>
        <w:tc>
          <w:tcPr>
            <w:tcW w:type="dxa" w:w="1728"/>
          </w:tcPr>
          <w:p>
            <w:r>
              <w:rPr>
                <w:rFonts w:ascii="Calibri" w:hAnsi="Calibri"/>
                <w:sz w:val="22"/>
              </w:rPr>
              <w:t>−24.2%</w:t>
            </w:r>
          </w:p>
        </w:tc>
        <w:tc>
          <w:tcPr>
            <w:tcW w:type="dxa" w:w="1728"/>
          </w:tcPr>
          <w:p>
            <w:r>
              <w:rPr>
                <w:rFonts w:ascii="Calibri" w:hAnsi="Calibri"/>
                <w:b/>
                <w:color w:val="E5484D"/>
                <w:sz w:val="22"/>
              </w:rPr>
              <w:t>Below</w:t>
            </w:r>
          </w:p>
        </w:tc>
      </w:tr>
      <w:tr>
        <w:tc>
          <w:tcPr>
            <w:tcW w:type="dxa" w:w="1728"/>
          </w:tcPr>
          <w:p>
            <w:r>
              <w:rPr>
                <w:rFonts w:ascii="Calibri" w:hAnsi="Calibri"/>
                <w:sz w:val="22"/>
              </w:rPr>
              <w:t>Q3 2024</w:t>
            </w:r>
          </w:p>
        </w:tc>
        <w:tc>
          <w:tcPr>
            <w:tcW w:type="dxa" w:w="1728"/>
          </w:tcPr>
          <w:p>
            <w:r>
              <w:rPr>
                <w:rFonts w:ascii="Calibri" w:hAnsi="Calibri"/>
                <w:sz w:val="22"/>
              </w:rPr>
              <w:t>$1.13B</w:t>
            </w:r>
          </w:p>
        </w:tc>
        <w:tc>
          <w:tcPr>
            <w:tcW w:type="dxa" w:w="1728"/>
          </w:tcPr>
          <w:p>
            <w:r>
              <w:rPr>
                <w:rFonts w:ascii="Calibri" w:hAnsi="Calibri"/>
                <w:sz w:val="22"/>
              </w:rPr>
              <w:t>$1.10B</w:t>
            </w:r>
          </w:p>
        </w:tc>
        <w:tc>
          <w:tcPr>
            <w:tcW w:type="dxa" w:w="1728"/>
          </w:tcPr>
          <w:p>
            <w:r>
              <w:rPr>
                <w:rFonts w:ascii="Calibri" w:hAnsi="Calibri"/>
                <w:sz w:val="22"/>
              </w:rPr>
              <w:t>+2.5%</w:t>
            </w:r>
          </w:p>
        </w:tc>
        <w:tc>
          <w:tcPr>
            <w:tcW w:type="dxa" w:w="1728"/>
          </w:tcPr>
          <w:p>
            <w:r>
              <w:rPr>
                <w:rFonts w:ascii="Calibri" w:hAnsi="Calibri"/>
                <w:b/>
                <w:color w:val="30A46C"/>
                <w:sz w:val="22"/>
              </w:rPr>
              <w:t>In-line</w:t>
            </w:r>
          </w:p>
        </w:tc>
      </w:tr>
      <w:tr>
        <w:tc>
          <w:tcPr>
            <w:tcW w:type="dxa" w:w="1728"/>
          </w:tcPr>
          <w:p>
            <w:r>
              <w:rPr>
                <w:rFonts w:ascii="Calibri" w:hAnsi="Calibri"/>
                <w:sz w:val="22"/>
              </w:rPr>
              <w:t>Q4 2024</w:t>
            </w:r>
          </w:p>
        </w:tc>
        <w:tc>
          <w:tcPr>
            <w:tcW w:type="dxa" w:w="1728"/>
          </w:tcPr>
          <w:p>
            <w:r>
              <w:rPr>
                <w:rFonts w:ascii="Calibri" w:hAnsi="Calibri"/>
                <w:sz w:val="22"/>
              </w:rPr>
              <w:t>$1.25B</w:t>
            </w:r>
          </w:p>
        </w:tc>
        <w:tc>
          <w:tcPr>
            <w:tcW w:type="dxa" w:w="1728"/>
          </w:tcPr>
          <w:p>
            <w:r>
              <w:rPr>
                <w:rFonts w:ascii="Calibri" w:hAnsi="Calibri"/>
                <w:sz w:val="22"/>
              </w:rPr>
              <w:t>$1.11B</w:t>
            </w:r>
          </w:p>
        </w:tc>
        <w:tc>
          <w:tcPr>
            <w:tcW w:type="dxa" w:w="1728"/>
          </w:tcPr>
          <w:p>
            <w:r>
              <w:rPr>
                <w:rFonts w:ascii="Calibri" w:hAnsi="Calibri"/>
                <w:sz w:val="22"/>
              </w:rPr>
              <w:t>+12.5%</w:t>
            </w:r>
          </w:p>
        </w:tc>
        <w:tc>
          <w:tcPr>
            <w:tcW w:type="dxa" w:w="1728"/>
          </w:tcPr>
          <w:p>
            <w:r>
              <w:rPr>
                <w:rFonts w:ascii="Calibri" w:hAnsi="Calibri"/>
                <w:b/>
                <w:color w:val="30A46C"/>
                <w:sz w:val="22"/>
              </w:rPr>
              <w:t>Above</w:t>
            </w:r>
          </w:p>
        </w:tc>
      </w:tr>
      <w:tr>
        <w:tc>
          <w:tcPr>
            <w:tcW w:type="dxa" w:w="1728"/>
          </w:tcPr>
          <w:p>
            <w:r>
              <w:rPr>
                <w:rFonts w:ascii="Calibri" w:hAnsi="Calibri"/>
                <w:sz w:val="22"/>
              </w:rPr>
              <w:t>Q1 2025</w:t>
            </w:r>
          </w:p>
        </w:tc>
        <w:tc>
          <w:tcPr>
            <w:tcW w:type="dxa" w:w="1728"/>
          </w:tcPr>
          <w:p>
            <w:r>
              <w:rPr>
                <w:rFonts w:ascii="Calibri" w:hAnsi="Calibri"/>
                <w:sz w:val="22"/>
              </w:rPr>
              <w:t>$0.87B</w:t>
            </w:r>
          </w:p>
        </w:tc>
        <w:tc>
          <w:tcPr>
            <w:tcW w:type="dxa" w:w="1728"/>
          </w:tcPr>
          <w:p>
            <w:r>
              <w:rPr>
                <w:rFonts w:ascii="Calibri" w:hAnsi="Calibri"/>
                <w:sz w:val="22"/>
              </w:rPr>
              <w:t>$1.16B</w:t>
            </w:r>
          </w:p>
        </w:tc>
        <w:tc>
          <w:tcPr>
            <w:tcW w:type="dxa" w:w="1728"/>
          </w:tcPr>
          <w:p>
            <w:r>
              <w:rPr>
                <w:rFonts w:ascii="Calibri" w:hAnsi="Calibri"/>
                <w:sz w:val="22"/>
              </w:rPr>
              <w:t>−24.8%</w:t>
            </w:r>
          </w:p>
        </w:tc>
        <w:tc>
          <w:tcPr>
            <w:tcW w:type="dxa" w:w="1728"/>
          </w:tcPr>
          <w:p>
            <w:r>
              <w:rPr>
                <w:rFonts w:ascii="Calibri" w:hAnsi="Calibri"/>
                <w:b/>
                <w:color w:val="E5484D"/>
                <w:sz w:val="22"/>
              </w:rPr>
              <w:t>Below</w:t>
            </w:r>
          </w:p>
        </w:tc>
      </w:tr>
      <w:tr>
        <w:tc>
          <w:tcPr>
            <w:tcW w:type="dxa" w:w="1728"/>
          </w:tcPr>
          <w:p>
            <w:r>
              <w:rPr>
                <w:rFonts w:ascii="Calibri" w:hAnsi="Calibri"/>
                <w:sz w:val="22"/>
              </w:rPr>
              <w:t>Q2 2025</w:t>
            </w:r>
          </w:p>
        </w:tc>
        <w:tc>
          <w:tcPr>
            <w:tcW w:type="dxa" w:w="1728"/>
          </w:tcPr>
          <w:p>
            <w:r>
              <w:rPr>
                <w:rFonts w:ascii="Calibri" w:hAnsi="Calibri"/>
                <w:sz w:val="22"/>
              </w:rPr>
              <w:t>$0.97B</w:t>
            </w:r>
          </w:p>
        </w:tc>
        <w:tc>
          <w:tcPr>
            <w:tcW w:type="dxa" w:w="1728"/>
          </w:tcPr>
          <w:p>
            <w:r>
              <w:rPr>
                <w:rFonts w:ascii="Calibri" w:hAnsi="Calibri"/>
                <w:sz w:val="22"/>
              </w:rPr>
              <w:t>$1.28B</w:t>
            </w:r>
          </w:p>
        </w:tc>
        <w:tc>
          <w:tcPr>
            <w:tcW w:type="dxa" w:w="1728"/>
          </w:tcPr>
          <w:p>
            <w:r>
              <w:rPr>
                <w:rFonts w:ascii="Calibri" w:hAnsi="Calibri"/>
                <w:sz w:val="22"/>
              </w:rPr>
              <w:t>−24.2%</w:t>
            </w:r>
          </w:p>
        </w:tc>
        <w:tc>
          <w:tcPr>
            <w:tcW w:type="dxa" w:w="1728"/>
          </w:tcPr>
          <w:p>
            <w:r>
              <w:rPr>
                <w:rFonts w:ascii="Calibri" w:hAnsi="Calibri"/>
                <w:b/>
                <w:color w:val="E5484D"/>
                <w:sz w:val="22"/>
              </w:rPr>
              <w:t>Below</w:t>
            </w:r>
          </w:p>
        </w:tc>
      </w:tr>
      <w:tr>
        <w:tc>
          <w:tcPr>
            <w:tcW w:type="dxa" w:w="1728"/>
          </w:tcPr>
          <w:p>
            <w:r>
              <w:rPr>
                <w:rFonts w:ascii="Calibri" w:hAnsi="Calibri"/>
                <w:sz w:val="22"/>
              </w:rPr>
              <w:t>Q3 2025</w:t>
            </w:r>
          </w:p>
        </w:tc>
        <w:tc>
          <w:tcPr>
            <w:tcW w:type="dxa" w:w="1728"/>
          </w:tcPr>
          <w:p>
            <w:r>
              <w:rPr>
                <w:rFonts w:ascii="Calibri" w:hAnsi="Calibri"/>
                <w:sz w:val="22"/>
              </w:rPr>
              <w:t>$1.43B</w:t>
            </w:r>
          </w:p>
        </w:tc>
        <w:tc>
          <w:tcPr>
            <w:tcW w:type="dxa" w:w="1728"/>
          </w:tcPr>
          <w:p>
            <w:r>
              <w:rPr>
                <w:rFonts w:ascii="Calibri" w:hAnsi="Calibri"/>
                <w:sz w:val="22"/>
              </w:rPr>
              <w:t>$1.29B</w:t>
            </w:r>
          </w:p>
        </w:tc>
        <w:tc>
          <w:tcPr>
            <w:tcW w:type="dxa" w:w="1728"/>
          </w:tcPr>
          <w:p>
            <w:r>
              <w:rPr>
                <w:rFonts w:ascii="Calibri" w:hAnsi="Calibri"/>
                <w:sz w:val="22"/>
              </w:rPr>
              <w:t>+10.9%</w:t>
            </w:r>
          </w:p>
        </w:tc>
        <w:tc>
          <w:tcPr>
            <w:tcW w:type="dxa" w:w="1728"/>
          </w:tcPr>
          <w:p>
            <w:r>
              <w:rPr>
                <w:rFonts w:ascii="Calibri" w:hAnsi="Calibri"/>
                <w:b/>
                <w:color w:val="30A46C"/>
                <w:sz w:val="22"/>
              </w:rPr>
              <w:t>Above</w:t>
            </w:r>
          </w:p>
        </w:tc>
      </w:tr>
      <w:tr>
        <w:tc>
          <w:tcPr>
            <w:tcW w:type="dxa" w:w="1728"/>
          </w:tcPr>
          <w:p>
            <w:r>
              <w:rPr>
                <w:rFonts w:ascii="Calibri" w:hAnsi="Calibri"/>
                <w:sz w:val="22"/>
              </w:rPr>
              <w:t>Q4 2025</w:t>
            </w:r>
          </w:p>
        </w:tc>
        <w:tc>
          <w:tcPr>
            <w:tcW w:type="dxa" w:w="1728"/>
          </w:tcPr>
          <w:p>
            <w:r>
              <w:rPr>
                <w:rFonts w:ascii="Calibri" w:hAnsi="Calibri"/>
                <w:sz w:val="22"/>
              </w:rPr>
              <w:t>$1.36B</w:t>
            </w:r>
          </w:p>
        </w:tc>
        <w:tc>
          <w:tcPr>
            <w:tcW w:type="dxa" w:w="1728"/>
          </w:tcPr>
          <w:p>
            <w:r>
              <w:rPr>
                <w:rFonts w:ascii="Calibri" w:hAnsi="Calibri"/>
                <w:sz w:val="22"/>
              </w:rPr>
              <w:t>$1.36B</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Q1 2026</w:t>
            </w:r>
          </w:p>
        </w:tc>
        <w:tc>
          <w:tcPr>
            <w:tcW w:type="dxa" w:w="1728"/>
          </w:tcPr>
          <w:p>
            <w:r>
              <w:rPr>
                <w:rFonts w:ascii="Calibri" w:hAnsi="Calibri"/>
                <w:sz w:val="22"/>
              </w:rPr>
              <w:t>$1.46B</w:t>
            </w:r>
          </w:p>
        </w:tc>
        <w:tc>
          <w:tcPr>
            <w:tcW w:type="dxa" w:w="1728"/>
          </w:tcPr>
          <w:p>
            <w:r>
              <w:rPr>
                <w:rFonts w:ascii="Calibri" w:hAnsi="Calibri"/>
                <w:sz w:val="22"/>
              </w:rPr>
              <w:t>$1.79B</w:t>
            </w:r>
          </w:p>
        </w:tc>
        <w:tc>
          <w:tcPr>
            <w:tcW w:type="dxa" w:w="1728"/>
          </w:tcPr>
          <w:p>
            <w:r>
              <w:rPr>
                <w:rFonts w:ascii="Calibri" w:hAnsi="Calibri"/>
                <w:sz w:val="22"/>
              </w:rPr>
              <w:t>−18.4%</w:t>
            </w:r>
          </w:p>
        </w:tc>
        <w:tc>
          <w:tcPr>
            <w:tcW w:type="dxa" w:w="1728"/>
          </w:tcPr>
          <w:p>
            <w:r>
              <w:rPr>
                <w:rFonts w:ascii="Calibri" w:hAnsi="Calibri"/>
                <w:b/>
                <w:color w:val="E5484D"/>
                <w:sz w:val="22"/>
              </w:rPr>
              <w:t>Below</w:t>
            </w:r>
          </w:p>
        </w:tc>
      </w:tr>
    </w:tbl>
    <w:p>
      <w:r>
        <w:rPr>
          <w:rFonts w:ascii="Calibri" w:hAnsi="Calibri"/>
          <w:b/>
          <w:color w:val="525866"/>
          <w:sz w:val="22"/>
        </w:rPr>
        <w:t xml:space="preserve">Pattern: </w:t>
      </w:r>
      <w:r>
        <w:rPr>
          <w:rFonts w:ascii="Calibri" w:hAnsi="Calibri"/>
          <w:color w:val="525866"/>
          <w:sz w:val="22"/>
        </w:rPr>
        <w:t>CapEx has been lumpy quarter-to-quarter, frequently coming in below consensus in the first half of the year and catching up in H2 — consistent with DTE's stated pace of &gt;$6B for FY 2026. The Q2 2026 consensus of $1.96B implies a significant step-up; any shortfall is likely to be viewed as timing rather than a structural cut.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Full-year Operating EPS guidance of $7.59–$7.73 was reaffirmed on the Q1 call with explicit confidence in the high end; no post-earnings guidance revision has been issued. The only post-Q1 corporate event was a June 22 investor meeting reiterating the same 2026 guidance, confirming no change in tone or numbers.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Operating EPS</w:t>
            </w:r>
          </w:p>
        </w:tc>
        <w:tc>
          <w:tcPr>
            <w:tcW w:type="dxa" w:w="1728"/>
          </w:tcPr>
          <w:p>
            <w:r>
              <w:rPr>
                <w:rFonts w:ascii="Calibri" w:hAnsi="Calibri"/>
                <w:sz w:val="22"/>
              </w:rPr>
              <w:t>$7.59–$7.73 (mid: $7.66); targeting high end</w:t>
            </w:r>
          </w:p>
        </w:tc>
        <w:tc>
          <w:tcPr>
            <w:tcW w:type="dxa" w:w="1728"/>
          </w:tcPr>
          <w:p>
            <w:r>
              <w:rPr>
                <w:rFonts w:ascii="Calibri" w:hAnsi="Calibri"/>
                <w:sz w:val="22"/>
              </w:rPr>
              <w:t>— (unchanged)</w:t>
            </w:r>
          </w:p>
        </w:tc>
        <w:tc>
          <w:tcPr>
            <w:tcW w:type="dxa" w:w="1728"/>
          </w:tcPr>
          <w:p>
            <w:r>
              <w:rPr>
                <w:rFonts w:ascii="Calibri" w:hAnsi="Calibri"/>
                <w:sz w:val="22"/>
              </w:rPr>
              <w:t>$7.71</w:t>
            </w:r>
          </w:p>
        </w:tc>
        <w:tc>
          <w:tcPr>
            <w:tcW w:type="dxa" w:w="1728"/>
          </w:tcPr>
          <w:p>
            <w:r>
              <w:rPr>
                <w:rFonts w:ascii="Calibri" w:hAnsi="Calibri"/>
                <w:sz w:val="22"/>
              </w:rPr>
              <w:t>Reaffirmed at June 22 investor meeting; tone unchanged — high-end confidence reiterated</w:t>
            </w:r>
          </w:p>
        </w:tc>
      </w:tr>
      <w:tr>
        <w:tc>
          <w:tcPr>
            <w:tcW w:type="dxa" w:w="1728"/>
          </w:tcPr>
          <w:p>
            <w:r>
              <w:rPr>
                <w:rFonts w:ascii="Calibri" w:hAnsi="Calibri"/>
                <w:sz w:val="22"/>
              </w:rPr>
              <w:t>FY 2026 Total CapEx</w:t>
            </w:r>
          </w:p>
        </w:tc>
        <w:tc>
          <w:tcPr>
            <w:tcW w:type="dxa" w:w="1728"/>
          </w:tcPr>
          <w:p>
            <w:r>
              <w:rPr>
                <w:rFonts w:ascii="Calibri" w:hAnsi="Calibri"/>
                <w:sz w:val="22"/>
              </w:rPr>
              <w:t>&gt;$6B utility investment; on pace after $1.2B in Q1</w:t>
            </w:r>
          </w:p>
        </w:tc>
        <w:tc>
          <w:tcPr>
            <w:tcW w:type="dxa" w:w="1728"/>
          </w:tcPr>
          <w:p>
            <w:r>
              <w:rPr>
                <w:rFonts w:ascii="Calibri" w:hAnsi="Calibri"/>
                <w:sz w:val="22"/>
              </w:rPr>
              <w:t>— (unchanged)</w:t>
            </w:r>
          </w:p>
        </w:tc>
        <w:tc>
          <w:tcPr>
            <w:tcW w:type="dxa" w:w="1728"/>
          </w:tcPr>
          <w:p>
            <w:r>
              <w:rPr>
                <w:rFonts w:ascii="Calibri" w:hAnsi="Calibri"/>
                <w:sz w:val="22"/>
              </w:rPr>
              <w:t>$6.86B</w:t>
            </w:r>
          </w:p>
        </w:tc>
        <w:tc>
          <w:tcPr>
            <w:tcW w:type="dxa" w:w="1728"/>
          </w:tcPr>
          <w:p>
            <w:r>
              <w:rPr>
                <w:rFonts w:ascii="Calibri" w:hAnsi="Calibri"/>
                <w:sz w:val="22"/>
              </w:rPr>
              <w:t>No revision; $1B debenture offering (June 18) supports capital plan funding</w:t>
            </w:r>
          </w:p>
        </w:tc>
      </w:tr>
      <w:tr>
        <w:tc>
          <w:tcPr>
            <w:tcW w:type="dxa" w:w="1728"/>
          </w:tcPr>
          <w:p>
            <w:r>
              <w:rPr>
                <w:rFonts w:ascii="Calibri" w:hAnsi="Calibri"/>
                <w:sz w:val="22"/>
              </w:rPr>
              <w:t>FFO / Total Debt Target</w:t>
            </w:r>
          </w:p>
        </w:tc>
        <w:tc>
          <w:tcPr>
            <w:tcW w:type="dxa" w:w="1728"/>
          </w:tcPr>
          <w:p>
            <w:r>
              <w:rPr>
                <w:rFonts w:ascii="Calibri" w:hAnsi="Calibri"/>
                <w:sz w:val="22"/>
              </w:rPr>
              <w:t>~15% (investment-grade maintenance)</w:t>
            </w:r>
          </w:p>
        </w:tc>
        <w:tc>
          <w:tcPr>
            <w:tcW w:type="dxa" w:w="1728"/>
          </w:tcPr>
          <w:p>
            <w:r>
              <w:rPr>
                <w:rFonts w:ascii="Calibri" w:hAnsi="Calibri"/>
                <w:sz w:val="22"/>
              </w:rPr>
              <w:t>— (unchanged)</w:t>
            </w:r>
          </w:p>
        </w:tc>
        <w:tc>
          <w:tcPr>
            <w:tcW w:type="dxa" w:w="1728"/>
          </w:tcPr>
          <w:p>
            <w:r>
              <w:rPr>
                <w:rFonts w:ascii="Calibri" w:hAnsi="Calibri"/>
                <w:sz w:val="22"/>
              </w:rPr>
              <w:t>~12.7% (trailing); ~13.1% FY consensus</w:t>
            </w:r>
          </w:p>
        </w:tc>
        <w:tc>
          <w:tcPr>
            <w:tcW w:type="dxa" w:w="1728"/>
          </w:tcPr>
          <w:p>
            <w:r>
              <w:rPr>
                <w:rFonts w:ascii="Calibri" w:hAnsi="Calibri"/>
                <w:sz w:val="22"/>
              </w:rPr>
              <w:t>Gap to target reflects ramp-up phase; management expects improvement as data center load ramps</w:t>
            </w:r>
          </w:p>
        </w:tc>
      </w:tr>
      <w:tr>
        <w:tc>
          <w:tcPr>
            <w:tcW w:type="dxa" w:w="1728"/>
          </w:tcPr>
          <w:p>
            <w:r>
              <w:rPr>
                <w:rFonts w:ascii="Calibri" w:hAnsi="Calibri"/>
                <w:sz w:val="22"/>
              </w:rPr>
              <w:t>Annual Equity Issuance</w:t>
            </w:r>
          </w:p>
        </w:tc>
        <w:tc>
          <w:tcPr>
            <w:tcW w:type="dxa" w:w="1728"/>
          </w:tcPr>
          <w:p>
            <w:r>
              <w:rPr>
                <w:rFonts w:ascii="Calibri" w:hAnsi="Calibri"/>
                <w:sz w:val="22"/>
              </w:rPr>
              <w:t>$500M–$600M per year (2026–2028); &gt;$350M priced via forward sales as of Q1</w:t>
            </w:r>
          </w:p>
        </w:tc>
        <w:tc>
          <w:tcPr>
            <w:tcW w:type="dxa" w:w="1728"/>
          </w:tcPr>
          <w:p>
            <w:r>
              <w:rPr>
                <w:rFonts w:ascii="Calibri" w:hAnsi="Calibri"/>
                <w:sz w:val="22"/>
              </w:rPr>
              <w:t>— (unchanged)</w:t>
            </w:r>
          </w:p>
        </w:tc>
        <w:tc>
          <w:tcPr>
            <w:tcW w:type="dxa" w:w="1728"/>
          </w:tcPr>
          <w:p>
            <w:r>
              <w:rPr>
                <w:rFonts w:ascii="Calibri" w:hAnsi="Calibri"/>
                <w:sz w:val="22"/>
              </w:rPr>
              <w:t>N/A (not consensus-tracked)</w:t>
            </w:r>
          </w:p>
        </w:tc>
        <w:tc>
          <w:tcPr>
            <w:tcW w:type="dxa" w:w="1728"/>
          </w:tcPr>
          <w:p>
            <w:r>
              <w:rPr>
                <w:rFonts w:ascii="Calibri" w:hAnsi="Calibri"/>
                <w:sz w:val="22"/>
              </w:rPr>
              <w:t>~2/3 of FY target already priced; settlement expected later in 2026</w:t>
            </w:r>
          </w:p>
        </w:tc>
      </w:tr>
      <w:tr>
        <w:tc>
          <w:tcPr>
            <w:tcW w:type="dxa" w:w="1728"/>
          </w:tcPr>
          <w:p>
            <w:r>
              <w:rPr>
                <w:rFonts w:ascii="Calibri" w:hAnsi="Calibri"/>
                <w:sz w:val="22"/>
              </w:rPr>
              <w:t>Google MPSC Approval</w:t>
            </w:r>
          </w:p>
        </w:tc>
        <w:tc>
          <w:tcPr>
            <w:tcW w:type="dxa" w:w="1728"/>
          </w:tcPr>
          <w:p>
            <w:r>
              <w:rPr>
                <w:rFonts w:ascii="Calibri" w:hAnsi="Calibri"/>
                <w:sz w:val="22"/>
              </w:rPr>
              <w:t>Expected by September 10, 2026</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Contracts filed with MPSC in March 2026; approval timeline unchanged; ~$5B incremental CapEx through 2032 contingent on approval</w:t>
            </w:r>
          </w:p>
        </w:tc>
      </w:tr>
      <w:tr>
        <w:tc>
          <w:tcPr>
            <w:tcW w:type="dxa" w:w="1728"/>
          </w:tcPr>
          <w:p>
            <w:r>
              <w:rPr>
                <w:rFonts w:ascii="Calibri" w:hAnsi="Calibri"/>
                <w:sz w:val="22"/>
              </w:rPr>
              <w:t>DTE Vantage 350 MW Behind-the-Meter Deal</w:t>
            </w:r>
          </w:p>
        </w:tc>
        <w:tc>
          <w:tcPr>
            <w:tcW w:type="dxa" w:w="1728"/>
          </w:tcPr>
          <w:p>
            <w:r>
              <w:rPr>
                <w:rFonts w:ascii="Calibri" w:hAnsi="Calibri"/>
                <w:sz w:val="22"/>
              </w:rPr>
              <w:t>"Short strokes" — full agreement expected within weeks of Apr 30 call</w:t>
            </w:r>
          </w:p>
        </w:tc>
        <w:tc>
          <w:tcPr>
            <w:tcW w:type="dxa" w:w="1728"/>
          </w:tcPr>
          <w:p>
            <w:r>
              <w:rPr>
                <w:rFonts w:ascii="Calibri" w:hAnsi="Calibri"/>
                <w:sz w:val="22"/>
              </w:rPr>
              <w:t>— (no public update)</w:t>
            </w:r>
          </w:p>
        </w:tc>
        <w:tc>
          <w:tcPr>
            <w:tcW w:type="dxa" w:w="1728"/>
          </w:tcPr>
          <w:p>
            <w:r>
              <w:rPr>
                <w:rFonts w:ascii="Calibri" w:hAnsi="Calibri"/>
                <w:sz w:val="22"/>
              </w:rPr>
              <w:t>N/A</w:t>
            </w:r>
          </w:p>
        </w:tc>
        <w:tc>
          <w:tcPr>
            <w:tcW w:type="dxa" w:w="1728"/>
          </w:tcPr>
          <w:p>
            <w:r>
              <w:rPr>
                <w:rFonts w:ascii="Calibri" w:hAnsi="Calibri"/>
                <w:sz w:val="22"/>
              </w:rPr>
              <w:t>No public announcement as of July 27; Q2 call is the next catalyst for update</w:t>
            </w:r>
          </w:p>
        </w:tc>
      </w:tr>
      <w:tr>
        <w:tc>
          <w:tcPr>
            <w:tcW w:type="dxa" w:w="1728"/>
          </w:tcPr>
          <w:p>
            <w:r>
              <w:rPr>
                <w:rFonts w:ascii="Calibri" w:hAnsi="Calibri"/>
                <w:sz w:val="22"/>
              </w:rPr>
              <w:t>IRP Filing</w:t>
            </w:r>
          </w:p>
        </w:tc>
        <w:tc>
          <w:tcPr>
            <w:tcW w:type="dxa" w:w="1728"/>
          </w:tcPr>
          <w:p>
            <w:r>
              <w:rPr>
                <w:rFonts w:ascii="Calibri" w:hAnsi="Calibri"/>
                <w:sz w:val="22"/>
              </w:rPr>
              <w:t>Expected Q3 2026</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Will lay out long-term generation/capacity plan including data center load; key visibility event</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Full-year estimates are essentially flat since the Q1 print ($7.71 now vs. $7.70 post-Q1 baseline), confirming the street is tracking guidance. The Q2 quarter-specific estimate dropped sharply in July (from $1.51 to $1.14), likely reflecting Energy Trading timing assumptions — this creates a low bar that management's guided reversal should clear.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7, 2026 — ~5 Days Post Q1 Print)</w:t>
            </w:r>
          </w:p>
        </w:tc>
        <w:tc>
          <w:tcPr>
            <w:tcW w:type="dxa" w:w="1080"/>
            <w:shd w:val="clear" w:color="auto" w:fill="3B4259"/>
          </w:tcPr>
          <w:p>
            <w:r>
              <w:rPr>
                <w:rFonts w:ascii="Calibri" w:hAnsi="Calibri"/>
                <w:b/>
                <w:color w:val="FFFFFF"/>
                <w:sz w:val="22"/>
              </w:rPr>
              <w:t>Current Estimate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 (%)</w:t>
            </w:r>
          </w:p>
        </w:tc>
      </w:tr>
      <w:tr>
        <w:tc>
          <w:tcPr>
            <w:tcW w:type="dxa" w:w="1080"/>
          </w:tcPr>
          <w:p>
            <w:r>
              <w:rPr>
                <w:rFonts w:ascii="Calibri" w:hAnsi="Calibri"/>
                <w:sz w:val="22"/>
              </w:rPr>
              <w:t>Operating EPS — Q2 2026</w:t>
            </w:r>
          </w:p>
        </w:tc>
        <w:tc>
          <w:tcPr>
            <w:tcW w:type="dxa" w:w="1080"/>
          </w:tcPr>
          <w:p>
            <w:r>
              <w:rPr>
                <w:rFonts w:ascii="Calibri" w:hAnsi="Calibri"/>
                <w:sz w:val="22"/>
              </w:rPr>
              <w:t>$1.49</w:t>
            </w:r>
          </w:p>
        </w:tc>
        <w:tc>
          <w:tcPr>
            <w:tcW w:type="dxa" w:w="1080"/>
          </w:tcPr>
          <w:p>
            <w:r>
              <w:rPr>
                <w:rFonts w:ascii="Calibri" w:hAnsi="Calibri"/>
                <w:sz w:val="22"/>
              </w:rPr>
              <w:t>$1.14</w:t>
            </w:r>
          </w:p>
        </w:tc>
        <w:tc>
          <w:tcPr>
            <w:tcW w:type="dxa" w:w="1080"/>
          </w:tcPr>
          <w:p>
            <w:r>
              <w:rPr>
                <w:rFonts w:ascii="Calibri" w:hAnsi="Calibri"/>
                <w:b/>
                <w:color w:val="E5484D"/>
                <w:sz w:val="22"/>
              </w:rPr>
              <w:t>−23.5%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$7.70</w:t>
            </w:r>
          </w:p>
        </w:tc>
        <w:tc>
          <w:tcPr>
            <w:tcW w:type="dxa" w:w="1080"/>
          </w:tcPr>
          <w:p>
            <w:r>
              <w:rPr>
                <w:rFonts w:ascii="Calibri" w:hAnsi="Calibri"/>
                <w:sz w:val="22"/>
              </w:rPr>
              <w:t>$7.71</w:t>
            </w:r>
          </w:p>
        </w:tc>
        <w:tc>
          <w:tcPr>
            <w:tcW w:type="dxa" w:w="1080"/>
          </w:tcPr>
          <w:p>
            <w:r>
              <w:rPr>
                <w:rFonts w:ascii="Calibri" w:hAnsi="Calibri"/>
                <w:sz w:val="22"/>
              </w:rPr>
              <w:t>+0.1%</w:t>
            </w:r>
          </w:p>
        </w:tc>
        <w:tc>
          <w:tcPr>
            <w:tcW w:type="dxa" w:w="1080"/>
          </w:tcPr>
          <w:p>
            <w:r>
              <w:rPr>
                <w:rFonts w:ascii="Calibri" w:hAnsi="Calibri"/>
                <w:sz w:val="22"/>
              </w:rPr>
              <w:t>$7.59–$7.73 (mid: $7.66)</w:t>
            </w:r>
          </w:p>
        </w:tc>
        <w:tc>
          <w:tcPr>
            <w:tcW w:type="dxa" w:w="1080"/>
          </w:tcPr>
          <w:p>
            <w:r>
              <w:rPr>
                <w:rFonts w:ascii="Calibri" w:hAnsi="Calibri"/>
                <w:sz w:val="22"/>
              </w:rPr>
              <w:t>$7.59–$7.73 (unchanged)</w:t>
            </w:r>
          </w:p>
        </w:tc>
        <w:tc>
          <w:tcPr>
            <w:tcW w:type="dxa" w:w="1080"/>
          </w:tcPr>
          <w:p>
            <w:r>
              <w:rPr>
                <w:rFonts w:ascii="Calibri" w:hAnsi="Calibri"/>
                <w:sz w:val="22"/>
              </w:rPr>
              <w:t>0%</w:t>
            </w:r>
          </w:p>
        </w:tc>
        <w:tc>
          <w:tcPr>
            <w:tcW w:type="dxa" w:w="1080"/>
          </w:tcPr>
          <w:p>
            <w:r>
              <w:rPr>
                <w:rFonts w:ascii="Calibri" w:hAnsi="Calibri"/>
                <w:sz w:val="22"/>
              </w:rPr>
              <w:t>+0.7% above mid</w:t>
            </w:r>
          </w:p>
        </w:tc>
      </w:tr>
      <w:tr>
        <w:tc>
          <w:tcPr>
            <w:tcW w:type="dxa" w:w="1080"/>
          </w:tcPr>
          <w:p>
            <w:r>
              <w:rPr>
                <w:rFonts w:ascii="Calibri" w:hAnsi="Calibri"/>
                <w:sz w:val="22"/>
              </w:rPr>
              <w:t>Operating EPS — FY 2027</w:t>
            </w:r>
          </w:p>
        </w:tc>
        <w:tc>
          <w:tcPr>
            <w:tcW w:type="dxa" w:w="1080"/>
          </w:tcPr>
          <w:p>
            <w:r>
              <w:rPr>
                <w:rFonts w:ascii="Calibri" w:hAnsi="Calibri"/>
                <w:sz w:val="22"/>
              </w:rPr>
              <w:t>$8.42</w:t>
            </w:r>
          </w:p>
        </w:tc>
        <w:tc>
          <w:tcPr>
            <w:tcW w:type="dxa" w:w="1080"/>
          </w:tcPr>
          <w:p>
            <w:r>
              <w:rPr>
                <w:rFonts w:ascii="Calibri" w:hAnsi="Calibri"/>
                <w:sz w:val="22"/>
              </w:rPr>
              <w:t>$8.37</w:t>
            </w:r>
          </w:p>
        </w:tc>
        <w:tc>
          <w:tcPr>
            <w:tcW w:type="dxa" w:w="1080"/>
          </w:tcPr>
          <w:p>
            <w:r>
              <w:rPr>
                <w:rFonts w:ascii="Calibri" w:hAnsi="Calibri"/>
                <w:sz w:val="22"/>
              </w:rPr>
              <w:t>−0.6%</w:t>
            </w:r>
          </w:p>
        </w:tc>
        <w:tc>
          <w:tcPr>
            <w:tcW w:type="dxa" w:w="1080"/>
          </w:tcPr>
          <w:p>
            <w:r>
              <w:rPr>
                <w:rFonts w:ascii="Calibri" w:hAnsi="Calibri"/>
                <w:sz w:val="22"/>
              </w:rPr>
              <w:t>6–8% CAGR through 2030</w:t>
            </w:r>
          </w:p>
        </w:tc>
        <w:tc>
          <w:tcPr>
            <w:tcW w:type="dxa" w:w="1080"/>
          </w:tcPr>
          <w:p>
            <w:r>
              <w:rPr>
                <w:rFonts w:ascii="Calibri" w:hAnsi="Calibri"/>
                <w:sz w:val="22"/>
              </w:rPr>
              <w:t>6–8% CAGR (unchanged)</w:t>
            </w:r>
          </w:p>
        </w:tc>
        <w:tc>
          <w:tcPr>
            <w:tcW w:type="dxa" w:w="1080"/>
          </w:tcPr>
          <w:p>
            <w:r>
              <w:rPr>
                <w:rFonts w:ascii="Calibri" w:hAnsi="Calibri"/>
                <w:sz w:val="22"/>
              </w:rPr>
              <w:t>0%</w:t>
            </w:r>
          </w:p>
        </w:tc>
        <w:tc>
          <w:tcPr>
            <w:tcW w:type="dxa" w:w="1080"/>
          </w:tcPr>
          <w:p>
            <w:r>
              <w:rPr>
                <w:rFonts w:ascii="Calibri" w:hAnsi="Calibri"/>
                <w:sz w:val="22"/>
              </w:rPr>
              <w:t>Tracking high end of range</w:t>
            </w:r>
          </w:p>
        </w:tc>
      </w:tr>
      <w:tr>
        <w:tc>
          <w:tcPr>
            <w:tcW w:type="dxa" w:w="1080"/>
          </w:tcPr>
          <w:p>
            <w:r>
              <w:rPr>
                <w:rFonts w:ascii="Calibri" w:hAnsi="Calibri"/>
                <w:sz w:val="22"/>
              </w:rPr>
              <w:t>Total Revenue — Q2 2026</w:t>
            </w:r>
          </w:p>
        </w:tc>
        <w:tc>
          <w:tcPr>
            <w:tcW w:type="dxa" w:w="1080"/>
          </w:tcPr>
          <w:p>
            <w:r>
              <w:rPr>
                <w:rFonts w:ascii="Calibri" w:hAnsi="Calibri"/>
                <w:sz w:val="22"/>
              </w:rPr>
              <w:t>$3.37B</w:t>
            </w:r>
          </w:p>
        </w:tc>
        <w:tc>
          <w:tcPr>
            <w:tcW w:type="dxa" w:w="1080"/>
          </w:tcPr>
          <w:p>
            <w:r>
              <w:rPr>
                <w:rFonts w:ascii="Calibri" w:hAnsi="Calibri"/>
                <w:sz w:val="22"/>
              </w:rPr>
              <w:t>$3.37B</w:t>
            </w:r>
          </w:p>
        </w:tc>
        <w:tc>
          <w:tcPr>
            <w:tcW w:type="dxa" w:w="1080"/>
          </w:tcPr>
          <w:p>
            <w:r>
              <w:rPr>
                <w:rFonts w:ascii="Calibri" w:hAnsi="Calibri"/>
                <w:sz w:val="22"/>
              </w:rPr>
              <w:t>0.0%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$15.47B</w:t>
            </w:r>
          </w:p>
        </w:tc>
        <w:tc>
          <w:tcPr>
            <w:tcW w:type="dxa" w:w="1080"/>
          </w:tcPr>
          <w:p>
            <w:r>
              <w:rPr>
                <w:rFonts w:ascii="Calibri" w:hAnsi="Calibri"/>
                <w:sz w:val="22"/>
              </w:rPr>
              <w:t>$15.90B</w:t>
            </w:r>
          </w:p>
        </w:tc>
        <w:tc>
          <w:tcPr>
            <w:tcW w:type="dxa" w:w="1080"/>
          </w:tcPr>
          <w:p>
            <w:r>
              <w:rPr>
                <w:rFonts w:ascii="Calibri" w:hAnsi="Calibri"/>
                <w:b/>
                <w:color w:val="30A46C"/>
                <w:sz w:val="22"/>
              </w:rPr>
              <w:t>+2.8%</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CapEx — FY 2026</w:t>
            </w:r>
          </w:p>
        </w:tc>
        <w:tc>
          <w:tcPr>
            <w:tcW w:type="dxa" w:w="1080"/>
          </w:tcPr>
          <w:p>
            <w:r>
              <w:rPr>
                <w:rFonts w:ascii="Calibri" w:hAnsi="Calibri"/>
                <w:sz w:val="22"/>
              </w:rPr>
              <w:t>$6.81B</w:t>
            </w:r>
          </w:p>
        </w:tc>
        <w:tc>
          <w:tcPr>
            <w:tcW w:type="dxa" w:w="1080"/>
          </w:tcPr>
          <w:p>
            <w:r>
              <w:rPr>
                <w:rFonts w:ascii="Calibri" w:hAnsi="Calibri"/>
                <w:sz w:val="22"/>
              </w:rPr>
              <w:t>$6.86B</w:t>
            </w:r>
          </w:p>
        </w:tc>
        <w:tc>
          <w:tcPr>
            <w:tcW w:type="dxa" w:w="1080"/>
          </w:tcPr>
          <w:p>
            <w:r>
              <w:rPr>
                <w:rFonts w:ascii="Calibri" w:hAnsi="Calibri"/>
                <w:sz w:val="22"/>
              </w:rPr>
              <w:t>+0.7%</w:t>
            </w:r>
          </w:p>
        </w:tc>
        <w:tc>
          <w:tcPr>
            <w:tcW w:type="dxa" w:w="1080"/>
          </w:tcPr>
          <w:p>
            <w:r>
              <w:rPr>
                <w:rFonts w:ascii="Calibri" w:hAnsi="Calibri"/>
                <w:sz w:val="22"/>
              </w:rPr>
              <w:t>&gt;$6B utility investment</w:t>
            </w:r>
          </w:p>
        </w:tc>
        <w:tc>
          <w:tcPr>
            <w:tcW w:type="dxa" w:w="1080"/>
          </w:tcPr>
          <w:p>
            <w:r>
              <w:rPr>
                <w:rFonts w:ascii="Calibri" w:hAnsi="Calibri"/>
                <w:sz w:val="22"/>
              </w:rPr>
              <w:t>&gt;$6B (unchanged)</w:t>
            </w:r>
          </w:p>
        </w:tc>
        <w:tc>
          <w:tcPr>
            <w:tcW w:type="dxa" w:w="1080"/>
          </w:tcPr>
          <w:p>
            <w:r>
              <w:rPr>
                <w:rFonts w:ascii="Calibri" w:hAnsi="Calibri"/>
                <w:sz w:val="22"/>
              </w:rPr>
              <w:t>0%</w:t>
            </w:r>
          </w:p>
        </w:tc>
        <w:tc>
          <w:tcPr>
            <w:tcW w:type="dxa" w:w="1080"/>
          </w:tcPr>
          <w:p>
            <w:r>
              <w:rPr>
                <w:rFonts w:ascii="Calibri" w:hAnsi="Calibri"/>
                <w:sz w:val="22"/>
              </w:rPr>
              <w:t>Consensus above floor guidance</w:t>
            </w:r>
          </w:p>
        </w:tc>
      </w:tr>
    </w:tbl>
    <w:p>
      <w:r>
        <w:rPr>
          <w:rFonts w:ascii="Calibri" w:hAnsi="Calibri"/>
          <w:color w:val="525866"/>
          <w:sz w:val="22"/>
        </w:rPr>
        <w:t>The sharp Q2 quarter-specific EPS revision (−23.5% since the post-Q1 baseline) stands in stark contrast to the flat full-year estimate, confirming this is a timing/seasonality re-allocation rather than a fundamental cut. The street appears to be modeling the Energy Trading reversal in Q3–Q4 rather than Q2, which sets a low bar for the upcoming print. 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DTE has underperformed XLU since the Q1 earnings date (April 30, 2026), declining ~3% on an indexed basis vs. XLU roughly flat and SPY up ~3%, suggesting the stock has not priced in a beat. The underperformance is primarily multiple-driven (NTM P/E contracted ~1.7% over 1 month) rather than estimate-driven, leaving room for re-rating on a clean print.</w:t>
      </w:r>
    </w:p>
    <w:p>
      <w:pPr>
        <w:pStyle w:val="Heading2"/>
      </w:pPr>
      <w:r>
        <w:rPr>
          <w:rFonts w:ascii="Calibri" w:hAnsi="Calibri"/>
          <w:b/>
          <w:color w:val="3B4259"/>
          <w:sz w:val="28"/>
        </w:rPr>
        <w:t>Indexed Price Performance Since Last Earnings (Base = 100 at April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DTE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30,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 (Investor Mtg 8-K)</w:t>
            </w:r>
          </w:p>
        </w:tc>
        <w:tc>
          <w:tcPr>
            <w:tcW w:type="dxa" w:w="2160"/>
          </w:tcPr>
          <w:p>
            <w:r>
              <w:rPr>
                <w:rFonts w:ascii="Calibri" w:hAnsi="Calibri"/>
                <w:sz w:val="22"/>
              </w:rPr>
              <w:t>92.1</w:t>
            </w:r>
          </w:p>
        </w:tc>
        <w:tc>
          <w:tcPr>
            <w:tcW w:type="dxa" w:w="2160"/>
          </w:tcPr>
          <w:p>
            <w:r>
              <w:rPr>
                <w:rFonts w:ascii="Calibri" w:hAnsi="Calibri"/>
                <w:sz w:val="22"/>
              </w:rPr>
              <w:t>93.6</w:t>
            </w:r>
          </w:p>
        </w:tc>
        <w:tc>
          <w:tcPr>
            <w:tcW w:type="dxa" w:w="2160"/>
          </w:tcPr>
          <w:p>
            <w:r>
              <w:rPr>
                <w:rFonts w:ascii="Calibri" w:hAnsi="Calibri"/>
                <w:sz w:val="22"/>
              </w:rPr>
              <w:t>102.9</w:t>
            </w:r>
          </w:p>
        </w:tc>
      </w:tr>
      <w:tr>
        <w:tc>
          <w:tcPr>
            <w:tcW w:type="dxa" w:w="2160"/>
          </w:tcPr>
          <w:p>
            <w:r>
              <w:rPr>
                <w:rFonts w:ascii="Calibri" w:hAnsi="Calibri"/>
                <w:sz w:val="22"/>
              </w:rPr>
              <w:t>Jun 18, 2026 ($1B Debenture Offering)</w:t>
            </w:r>
          </w:p>
        </w:tc>
        <w:tc>
          <w:tcPr>
            <w:tcW w:type="dxa" w:w="2160"/>
          </w:tcPr>
          <w:p>
            <w:r>
              <w:rPr>
                <w:rFonts w:ascii="Calibri" w:hAnsi="Calibri"/>
                <w:sz w:val="22"/>
              </w:rPr>
              <w:t>97.3</w:t>
            </w:r>
          </w:p>
        </w:tc>
        <w:tc>
          <w:tcPr>
            <w:tcW w:type="dxa" w:w="2160"/>
          </w:tcPr>
          <w:p>
            <w:r>
              <w:rPr>
                <w:rFonts w:ascii="Calibri" w:hAnsi="Calibri"/>
                <w:sz w:val="22"/>
              </w:rPr>
              <w:t>95.5</w:t>
            </w:r>
          </w:p>
        </w:tc>
        <w:tc>
          <w:tcPr>
            <w:tcW w:type="dxa" w:w="2160"/>
          </w:tcPr>
          <w:p>
            <w:r>
              <w:rPr>
                <w:rFonts w:ascii="Calibri" w:hAnsi="Calibri"/>
                <w:sz w:val="22"/>
              </w:rPr>
              <w:t>103.9</w:t>
            </w:r>
          </w:p>
        </w:tc>
      </w:tr>
      <w:tr>
        <w:tc>
          <w:tcPr>
            <w:tcW w:type="dxa" w:w="2160"/>
          </w:tcPr>
          <w:p>
            <w:r>
              <w:rPr>
                <w:rFonts w:ascii="Calibri" w:hAnsi="Calibri"/>
                <w:sz w:val="22"/>
              </w:rPr>
              <w:t>Jun 22, 2026 (Investor Meeting)</w:t>
            </w:r>
          </w:p>
        </w:tc>
        <w:tc>
          <w:tcPr>
            <w:tcW w:type="dxa" w:w="2160"/>
          </w:tcPr>
          <w:p>
            <w:r>
              <w:rPr>
                <w:rFonts w:ascii="Calibri" w:hAnsi="Calibri"/>
                <w:sz w:val="22"/>
              </w:rPr>
              <w:t>96.8</w:t>
            </w:r>
          </w:p>
        </w:tc>
        <w:tc>
          <w:tcPr>
            <w:tcW w:type="dxa" w:w="2160"/>
          </w:tcPr>
          <w:p>
            <w:r>
              <w:rPr>
                <w:rFonts w:ascii="Calibri" w:hAnsi="Calibri"/>
                <w:sz w:val="22"/>
              </w:rPr>
              <w:t>95.4</w:t>
            </w:r>
          </w:p>
        </w:tc>
        <w:tc>
          <w:tcPr>
            <w:tcW w:type="dxa" w:w="2160"/>
          </w:tcPr>
          <w:p>
            <w:r>
              <w:rPr>
                <w:rFonts w:ascii="Calibri" w:hAnsi="Calibri"/>
                <w:sz w:val="22"/>
              </w:rPr>
              <w:t>103.6</w:t>
            </w:r>
          </w:p>
        </w:tc>
      </w:tr>
      <w:tr>
        <w:tc>
          <w:tcPr>
            <w:tcW w:type="dxa" w:w="2160"/>
          </w:tcPr>
          <w:p>
            <w:r>
              <w:rPr>
                <w:rFonts w:ascii="Calibri" w:hAnsi="Calibri"/>
                <w:sz w:val="22"/>
              </w:rPr>
              <w:t>Jun 30, 2026 (Q2 End)</w:t>
            </w:r>
          </w:p>
        </w:tc>
        <w:tc>
          <w:tcPr>
            <w:tcW w:type="dxa" w:w="2160"/>
          </w:tcPr>
          <w:p>
            <w:r>
              <w:rPr>
                <w:rFonts w:ascii="Calibri" w:hAnsi="Calibri"/>
                <w:sz w:val="22"/>
              </w:rPr>
              <w:t>100.4</w:t>
            </w:r>
          </w:p>
        </w:tc>
        <w:tc>
          <w:tcPr>
            <w:tcW w:type="dxa" w:w="2160"/>
          </w:tcPr>
          <w:p>
            <w:r>
              <w:rPr>
                <w:rFonts w:ascii="Calibri" w:hAnsi="Calibri"/>
                <w:sz w:val="22"/>
              </w:rPr>
              <w:t>96.8</w:t>
            </w:r>
          </w:p>
        </w:tc>
        <w:tc>
          <w:tcPr>
            <w:tcW w:type="dxa" w:w="2160"/>
          </w:tcPr>
          <w:p>
            <w:r>
              <w:rPr>
                <w:rFonts w:ascii="Calibri" w:hAnsi="Calibri"/>
                <w:sz w:val="22"/>
              </w:rPr>
              <w:t>103.9</w:t>
            </w:r>
          </w:p>
        </w:tc>
      </w:tr>
      <w:tr>
        <w:tc>
          <w:tcPr>
            <w:tcW w:type="dxa" w:w="2160"/>
          </w:tcPr>
          <w:p>
            <w:r>
              <w:rPr>
                <w:rFonts w:ascii="Calibri" w:hAnsi="Calibri"/>
                <w:sz w:val="22"/>
              </w:rPr>
              <w:t>Jul 24, 2026 (NEE Q2 Earnings)</w:t>
            </w:r>
          </w:p>
        </w:tc>
        <w:tc>
          <w:tcPr>
            <w:tcW w:type="dxa" w:w="2160"/>
          </w:tcPr>
          <w:p>
            <w:r>
              <w:rPr>
                <w:rFonts w:ascii="Calibri" w:hAnsi="Calibri"/>
                <w:sz w:val="22"/>
              </w:rPr>
              <w:t>98.5</w:t>
            </w:r>
          </w:p>
        </w:tc>
        <w:tc>
          <w:tcPr>
            <w:tcW w:type="dxa" w:w="2160"/>
          </w:tcPr>
          <w:p>
            <w:r>
              <w:rPr>
                <w:rFonts w:ascii="Calibri" w:hAnsi="Calibri"/>
                <w:sz w:val="22"/>
              </w:rPr>
              <w:t>98.8</w:t>
            </w:r>
          </w:p>
        </w:tc>
        <w:tc>
          <w:tcPr>
            <w:tcW w:type="dxa" w:w="2160"/>
          </w:tcPr>
          <w:p>
            <w:r>
              <w:rPr>
                <w:rFonts w:ascii="Calibri" w:hAnsi="Calibri"/>
                <w:sz w:val="22"/>
              </w:rPr>
              <w:t>102.8</w:t>
            </w:r>
          </w:p>
        </w:tc>
      </w:tr>
      <w:tr>
        <w:tc>
          <w:tcPr>
            <w:tcW w:type="dxa" w:w="2160"/>
          </w:tcPr>
          <w:p>
            <w:r>
              <w:rPr>
                <w:rFonts w:ascii="Calibri" w:hAnsi="Calibri"/>
                <w:sz w:val="22"/>
              </w:rPr>
              <w:t>Jul 28, 2026 (Latest / Pre-Earnings)</w:t>
            </w:r>
          </w:p>
        </w:tc>
        <w:tc>
          <w:tcPr>
            <w:tcW w:type="dxa" w:w="2160"/>
          </w:tcPr>
          <w:p>
            <w:r>
              <w:rPr>
                <w:rFonts w:ascii="Calibri" w:hAnsi="Calibri"/>
                <w:sz w:val="22"/>
              </w:rPr>
              <w:t>97.1</w:t>
            </w:r>
          </w:p>
        </w:tc>
        <w:tc>
          <w:tcPr>
            <w:tcW w:type="dxa" w:w="2160"/>
          </w:tcPr>
          <w:p>
            <w:r>
              <w:rPr>
                <w:rFonts w:ascii="Calibri" w:hAnsi="Calibri"/>
                <w:sz w:val="22"/>
              </w:rPr>
              <w:t>97.5</w:t>
            </w:r>
          </w:p>
        </w:tc>
        <w:tc>
          <w:tcPr>
            <w:tcW w:type="dxa" w:w="2160"/>
          </w:tcPr>
          <w:p>
            <w:r>
              <w:rPr>
                <w:rFonts w:ascii="Calibri" w:hAnsi="Calibri"/>
                <w:sz w:val="22"/>
              </w:rPr>
              <w:t>102.8</w:t>
            </w:r>
          </w:p>
        </w:tc>
      </w:tr>
    </w:tbl>
    <w:p>
      <w:r>
        <w:rPr>
          <w:rFonts w:ascii="Calibri" w:hAnsi="Calibri"/>
          <w:b/>
          <w:color w:val="525866"/>
          <w:sz w:val="22"/>
        </w:rPr>
        <w:t xml:space="preserve">Note: </w:t>
      </w:r>
      <w:r>
        <w:rPr>
          <w:rFonts w:ascii="Calibri" w:hAnsi="Calibri"/>
          <w:color w:val="525866"/>
          <w:sz w:val="22"/>
        </w:rPr>
        <w:t>Indexed values calculated from raw close prices (DTE, XLU, SPY) with April 30, 2026 close as base = 100. DTE closed at $151.69 on April 30 and $147.23 on July 28 (−2.9% absolute). XLU closed at $46.85 on April 30 and $45.68 on July 28 (−2.5%). SPY closed at $718.66 on April 30 and $739.09 on July 28 (+2.8%). Source: Stock Price Data (Yahoo Finance).</w:t>
      </w:r>
    </w:p>
    <w:p>
      <w:r>
        <w:rPr>
          <w:rFonts w:ascii="Calibri" w:hAnsi="Calibri"/>
          <w:b/>
          <w:color w:val="525866"/>
          <w:sz w:val="22"/>
        </w:rPr>
        <w:t xml:space="preserve">Valuation Context: </w:t>
      </w:r>
      <w:r>
        <w:rPr>
          <w:rFonts w:ascii="Calibri" w:hAnsi="Calibri"/>
          <w:color w:val="525866"/>
          <w:sz w:val="22"/>
        </w:rPr>
        <w:t>DTE's NTM P/E stands at 18.5x (vs. 18.8x one month ago, −1.7% contraction), and NTM EV/EBITDA at 11.3x (vs. 11.7x one month ago, −3.4% contraction). Over the 6-month horizon, the stock is up +9.6% with EV/EBITDA expanding +2.9%, suggesting the longer-term re-rating from data center announcements is intact even as near-term multiple has pulled back. Source: Stock Performance Decomposition Data.</w:t>
      </w:r>
    </w:p>
    <w:p>
      <w:r>
        <w:br w:type="page"/>
      </w:r>
    </w:p>
    <w:p>
      <w:pPr>
        <w:pStyle w:val="Heading1"/>
        <w:pBdr>
          <w:bottom w:val="single" w:sz="4" w:space="1" w:color="FB9120"/>
        </w:pBdr>
      </w:pPr>
      <w:r>
        <w:rPr>
          <w:rFonts w:ascii="Calibri" w:hAnsi="Calibri"/>
          <w:b/>
          <w:color w:val="3B4259"/>
          <w:sz w:val="40"/>
        </w:rPr>
        <w:t>6. Peer Commentary &amp; Current-Quarter Read-Throughs</w:t>
      </w:r>
    </w:p>
    <w:p>
      <w:r>
        <w:rPr>
          <w:rFonts w:ascii="Calibri" w:hAnsi="Calibri"/>
          <w:b/>
          <w:color w:val="525866"/>
          <w:sz w:val="22"/>
        </w:rPr>
        <w:t xml:space="preserve">Key Takeaway: </w:t>
      </w:r>
      <w:r>
        <w:rPr>
          <w:rFonts w:ascii="Calibri" w:hAnsi="Calibri"/>
          <w:color w:val="525866"/>
          <w:sz w:val="22"/>
        </w:rPr>
        <w:t>Peer commentary from the last 60 days is uniformly constructive on data center load growth and regulated utility demand — NEE's Q2 2026 beat and Entergy's Investor Day both confirm the hyperscaler demand environment that underpins DTE's growth thesis. Duke Energy's rate settlement in North Carolina provides a useful regulatory benchmark for DTE's pending electric rate case.</w:t>
      </w:r>
    </w:p>
    <w:p>
      <w:r>
        <w:rPr>
          <w:rFonts w:ascii="Calibri" w:hAnsi="Calibri"/>
          <w:b/>
          <w:i/>
          <w:color w:val="525866"/>
          <w:sz w:val="22"/>
        </w:rPr>
        <w:t xml:space="preserve">Note on scope: </w:t>
      </w:r>
      <w:r>
        <w:rPr>
          <w:rFonts w:ascii="Calibri" w:hAnsi="Calibri"/>
          <w:i/>
          <w:color w:val="525866"/>
          <w:sz w:val="22"/>
        </w:rPr>
        <w:t>Only commentary from the last 60 days (on or after May 27, 2026) that addresses Q2 2026 conditions or was made after each peer's last earnings is included below. Retrospective prior-quarter commentary is excluded.</w:t>
      </w:r>
    </w:p>
    <w:p>
      <w:pPr>
        <w:pStyle w:val="Heading2"/>
      </w:pPr>
      <w:r>
        <w:rPr>
          <w:rFonts w:ascii="Calibri" w:hAnsi="Calibri"/>
          <w:b/>
          <w:color w:val="3B4259"/>
          <w:sz w:val="28"/>
        </w:rPr>
        <w:t>NextEra Energy (NEE) — Q2 2026 Earnings (Reported July 24, 2026)</w:t>
      </w:r>
    </w:p>
    <w:p>
      <w:r>
        <w:rPr>
          <w:rFonts w:ascii="Calibri" w:hAnsi="Calibri"/>
          <w:b/>
          <w:color w:val="525866"/>
          <w:sz w:val="22"/>
        </w:rPr>
        <w:t xml:space="preserve">Relevance: </w:t>
      </w:r>
      <w:r>
        <w:rPr>
          <w:rFonts w:ascii="Calibri" w:hAnsi="Calibri"/>
          <w:color w:val="525866"/>
          <w:sz w:val="22"/>
        </w:rPr>
        <w:t>NEE is the largest regulated utility peer and the most direct read-through on data center demand, regulated utility earnings quality, and the regulatory environment for large-load tariffs.</w:t>
      </w:r>
    </w:p>
    <w:p>
      <w:pPr>
        <w:pStyle w:val="ListBullet"/>
        <w:ind w:left="360" w:hanging="360"/>
      </w:pPr>
      <w:r>
        <w:rPr>
          <w:rFonts w:ascii="Calibri" w:hAnsi="Calibri"/>
          <w:b/>
          <w:color w:val="525866"/>
          <w:sz w:val="22"/>
        </w:rPr>
        <w:t xml:space="preserve">Data center demand accelerating: </w:t>
      </w:r>
      <w:r>
        <w:rPr>
          <w:rFonts w:ascii="Calibri" w:hAnsi="Calibri"/>
          <w:color w:val="525866"/>
          <w:sz w:val="22"/>
        </w:rPr>
        <w:t xml:space="preserve">FPL reported "very strong interest from hyperscalers and other large load customers" with ~21 GW of large-load interest, 12 GW in advanced discussions, and expects to announce at least one large-load transaction under its tariff by year-end. FPL updated its large-load expectation from 6 GW to 8 GW by 2032 in May. </w:t>
      </w:r>
      <w:r>
        <w:rPr>
          <w:rFonts w:ascii="Calibri" w:hAnsi="Calibri"/>
          <w:b/>
          <w:color w:val="525866"/>
          <w:sz w:val="22"/>
        </w:rPr>
        <w:t xml:space="preserve">DTE read-through: </w:t>
      </w:r>
      <w:r>
        <w:rPr>
          <w:rFonts w:ascii="Calibri" w:hAnsi="Calibri"/>
          <w:color w:val="525866"/>
          <w:sz w:val="22"/>
        </w:rPr>
        <w:t>Confirms the hyperscaler demand environment supporting DTE's Oracle (1.4 GW approved) and Google (1 GW pending MPSC) contracts, and the ~2 GW in late-stage negotiations.</w:t>
      </w:r>
    </w:p>
    <w:p>
      <w:pPr>
        <w:pStyle w:val="ListBullet"/>
        <w:ind w:left="360" w:hanging="360"/>
      </w:pPr>
      <w:r>
        <w:rPr>
          <w:rFonts w:ascii="Calibri" w:hAnsi="Calibri"/>
          <w:b/>
          <w:color w:val="525866"/>
          <w:sz w:val="22"/>
        </w:rPr>
        <w:t xml:space="preserve">Q2 2026 EPS beat: </w:t>
      </w:r>
      <w:r>
        <w:rPr>
          <w:rFonts w:ascii="Calibri" w:hAnsi="Calibri"/>
          <w:color w:val="525866"/>
          <w:sz w:val="22"/>
        </w:rPr>
        <w:t xml:space="preserve">NEE reported adjusted EPS of $1.15 vs. $1.11 consensus (+3.6% beat), with FPL net income of $1.41B (vs. $1.28B prior year). Reaffirmed 2026 adjusted EPS guidance of $3.92–$4.02, targeting the high end. </w:t>
      </w:r>
      <w:r>
        <w:rPr>
          <w:rFonts w:ascii="Calibri" w:hAnsi="Calibri"/>
          <w:b/>
          <w:color w:val="525866"/>
          <w:sz w:val="22"/>
        </w:rPr>
        <w:t xml:space="preserve">DTE read-through: </w:t>
      </w:r>
      <w:r>
        <w:rPr>
          <w:rFonts w:ascii="Calibri" w:hAnsi="Calibri"/>
          <w:color w:val="525866"/>
          <w:sz w:val="22"/>
        </w:rPr>
        <w:t>Positive signal for regulated utility earnings quality in Q2 2026; suggests the operating environment (weather, demand, cost management) was broadly supportive.</w:t>
      </w:r>
    </w:p>
    <w:p>
      <w:pPr>
        <w:pStyle w:val="ListBullet"/>
        <w:ind w:left="360" w:hanging="360"/>
      </w:pPr>
      <w:r>
        <w:rPr>
          <w:rFonts w:ascii="Calibri" w:hAnsi="Calibri"/>
          <w:b/>
          <w:color w:val="525866"/>
          <w:sz w:val="22"/>
        </w:rPr>
        <w:t xml:space="preserve">Regulatory framework for large load: </w:t>
      </w:r>
      <w:r>
        <w:rPr>
          <w:rFonts w:ascii="Calibri" w:hAnsi="Calibri"/>
          <w:color w:val="525866"/>
          <w:sz w:val="22"/>
        </w:rPr>
        <w:t xml:space="preserve">Florida's governor signed a bill codifying FPL's large-load tariff into law in May 2026. NEE also announced support for the White House Ratepayer Protection Pledge, reinforcing the principle that large-load customers pay their fair share. FPL's reported ROE was ~11.7% in Q2. </w:t>
      </w:r>
      <w:r>
        <w:rPr>
          <w:rFonts w:ascii="Calibri" w:hAnsi="Calibri"/>
          <w:b/>
          <w:color w:val="525866"/>
          <w:sz w:val="22"/>
        </w:rPr>
        <w:t xml:space="preserve">DTE read-through: </w:t>
      </w:r>
      <w:r>
        <w:rPr>
          <w:rFonts w:ascii="Calibri" w:hAnsi="Calibri"/>
          <w:color w:val="525866"/>
          <w:sz w:val="22"/>
        </w:rPr>
        <w:t>Supportive regulatory backdrop for DTE's proposed mechanism to capture excess Oracle margin and delay future rate cases; the "fair share" framework aligns with DTE's Google contract structure ($1.7B affordability benefit to existing customers).</w:t>
      </w:r>
    </w:p>
    <w:p>
      <w:pPr>
        <w:pStyle w:val="ListBullet"/>
        <w:ind w:left="360" w:hanging="360"/>
      </w:pPr>
      <w:r>
        <w:rPr>
          <w:rFonts w:ascii="Calibri" w:hAnsi="Calibri"/>
          <w:b/>
          <w:color w:val="525866"/>
          <w:sz w:val="22"/>
        </w:rPr>
        <w:t xml:space="preserve">Capital spending: </w:t>
      </w:r>
      <w:r>
        <w:rPr>
          <w:rFonts w:ascii="Calibri" w:hAnsi="Calibri"/>
          <w:color w:val="525866"/>
          <w:sz w:val="22"/>
        </w:rPr>
        <w:t xml:space="preserve">FPL CapEx was ~$2.8B in Q2 alone, with full-year guidance of $12–$13B. Regulatory capital employed grew ~9.3% YoY. </w:t>
      </w:r>
      <w:r>
        <w:rPr>
          <w:rFonts w:ascii="Calibri" w:hAnsi="Calibri"/>
          <w:b/>
          <w:color w:val="525866"/>
          <w:sz w:val="22"/>
        </w:rPr>
        <w:t xml:space="preserve">DTE read-through: </w:t>
      </w:r>
      <w:r>
        <w:rPr>
          <w:rFonts w:ascii="Calibri" w:hAnsi="Calibri"/>
          <w:color w:val="525866"/>
          <w:sz w:val="22"/>
        </w:rPr>
        <w:t>Validates the sector-wide capital intensity trend; DTE's $6.86B FY 2026 consensus CapEx is consistent with the peer investment cycle.</w:t>
      </w:r>
    </w:p>
    <w:p>
      <w:pPr>
        <w:pStyle w:val="Heading2"/>
      </w:pPr>
      <w:r>
        <w:rPr>
          <w:rFonts w:ascii="Calibri" w:hAnsi="Calibri"/>
          <w:b/>
          <w:color w:val="3B4259"/>
          <w:sz w:val="28"/>
        </w:rPr>
        <w:t>Entergy (ETR) — Investor Day (June 9, 2026)</w:t>
      </w:r>
    </w:p>
    <w:p>
      <w:r>
        <w:rPr>
          <w:rFonts w:ascii="Calibri" w:hAnsi="Calibri"/>
          <w:b/>
          <w:color w:val="525866"/>
          <w:sz w:val="22"/>
        </w:rPr>
        <w:t xml:space="preserve">Relevance: </w:t>
      </w:r>
      <w:r>
        <w:rPr>
          <w:rFonts w:ascii="Calibri" w:hAnsi="Calibri"/>
          <w:color w:val="525866"/>
          <w:sz w:val="22"/>
        </w:rPr>
        <w:t>Entergy's Investor Day provided the most detailed peer commentary on data center contract structures, load growth, regulatory mechanisms, and capital planning for the current period.</w:t>
      </w:r>
    </w:p>
    <w:p>
      <w:pPr>
        <w:pStyle w:val="ListBullet"/>
        <w:ind w:left="360" w:hanging="360"/>
      </w:pPr>
      <w:r>
        <w:rPr>
          <w:rFonts w:ascii="Calibri" w:hAnsi="Calibri"/>
          <w:b/>
          <w:color w:val="525866"/>
          <w:sz w:val="22"/>
        </w:rPr>
        <w:t xml:space="preserve">Massive load growth pipeline: </w:t>
      </w:r>
      <w:r>
        <w:rPr>
          <w:rFonts w:ascii="Calibri" w:hAnsi="Calibri"/>
          <w:color w:val="525866"/>
          <w:sz w:val="22"/>
        </w:rPr>
        <w:t xml:space="preserve">ETR's 24-month ESA outlook projects 7–12 GW for data centers and 3–5 GW for other industries. The company's 5-year capital plan has doubled to $67B ($13B/year average), driving 16% rate base growth to $97B by 2030 — described as the highest rate base growth in the industry. </w:t>
      </w:r>
      <w:r>
        <w:rPr>
          <w:rFonts w:ascii="Calibri" w:hAnsi="Calibri"/>
          <w:b/>
          <w:color w:val="525866"/>
          <w:sz w:val="22"/>
        </w:rPr>
        <w:t xml:space="preserve">DTE read-through: </w:t>
      </w:r>
      <w:r>
        <w:rPr>
          <w:rFonts w:ascii="Calibri" w:hAnsi="Calibri"/>
          <w:color w:val="525866"/>
          <w:sz w:val="22"/>
        </w:rPr>
        <w:t>Confirms the scale of data center-driven capital opportunity; DTE's ~2 GW in late-stage negotiations and 3–4 GW pipeline are consistent with the industry-wide demand surge.</w:t>
      </w:r>
    </w:p>
    <w:p>
      <w:pPr>
        <w:pStyle w:val="ListBullet"/>
        <w:ind w:left="360" w:hanging="360"/>
      </w:pPr>
      <w:r>
        <w:rPr>
          <w:rFonts w:ascii="Calibri" w:hAnsi="Calibri"/>
          <w:b/>
          <w:color w:val="525866"/>
          <w:sz w:val="22"/>
        </w:rPr>
        <w:t xml:space="preserve">Contract structure for hyperscalers: </w:t>
      </w:r>
      <w:r>
        <w:rPr>
          <w:rFonts w:ascii="Calibri" w:hAnsi="Calibri"/>
          <w:color w:val="525866"/>
          <w:sz w:val="22"/>
        </w:rPr>
        <w:t xml:space="preserve">ETR's contracts feature 15–20-year terms, significant minimum bills, credit commensurate with counterparty, and early termination provisions. The "fair share plus pledge" is expected to generate $7B of savings for existing customers. </w:t>
      </w:r>
      <w:r>
        <w:rPr>
          <w:rFonts w:ascii="Calibri" w:hAnsi="Calibri"/>
          <w:b/>
          <w:color w:val="525866"/>
          <w:sz w:val="22"/>
        </w:rPr>
        <w:t xml:space="preserve">DTE read-through: </w:t>
      </w:r>
      <w:r>
        <w:rPr>
          <w:rFonts w:ascii="Calibri" w:hAnsi="Calibri"/>
          <w:color w:val="525866"/>
          <w:sz w:val="22"/>
        </w:rPr>
        <w:t>DTE's Google contract structure (Google pays full cost of energy usage including new generation, storage, transmission, and distribution) is consistent with the industry standard; the $1.7B affordability benefit framing mirrors ETR's approach.</w:t>
      </w:r>
    </w:p>
    <w:p>
      <w:pPr>
        <w:pStyle w:val="ListBullet"/>
        <w:ind w:left="360" w:hanging="360"/>
      </w:pPr>
      <w:r>
        <w:rPr>
          <w:rFonts w:ascii="Calibri" w:hAnsi="Calibri"/>
          <w:b/>
          <w:color w:val="525866"/>
          <w:sz w:val="22"/>
        </w:rPr>
        <w:t xml:space="preserve">Regulatory mechanisms in every operating company: </w:t>
      </w:r>
      <w:r>
        <w:rPr>
          <w:rFonts w:ascii="Calibri" w:hAnsi="Calibri"/>
          <w:color w:val="525866"/>
          <w:sz w:val="22"/>
        </w:rPr>
        <w:t xml:space="preserve">ETR has forward-looking mechanisms or riders in every operating company, expects utilities to earn roughly equal to allowed ROEs, and cited a June 2026 FRP filing with no rate change as evidence that large customers help manage affordability. </w:t>
      </w:r>
      <w:r>
        <w:rPr>
          <w:rFonts w:ascii="Calibri" w:hAnsi="Calibri"/>
          <w:b/>
          <w:color w:val="525866"/>
          <w:sz w:val="22"/>
        </w:rPr>
        <w:t xml:space="preserve">DTE read-through: </w:t>
      </w:r>
      <w:r>
        <w:rPr>
          <w:rFonts w:ascii="Calibri" w:hAnsi="Calibri"/>
          <w:color w:val="525866"/>
          <w:sz w:val="22"/>
        </w:rPr>
        <w:t>Positive read-through for DTE's proposed regulatory mechanism to capture excess Oracle margin and delay the next electric rate case until at least 2028.</w:t>
      </w:r>
    </w:p>
    <w:p>
      <w:pPr>
        <w:pStyle w:val="ListBullet"/>
        <w:ind w:left="360" w:hanging="360"/>
      </w:pPr>
      <w:r>
        <w:rPr>
          <w:rFonts w:ascii="Calibri" w:hAnsi="Calibri"/>
          <w:b/>
          <w:color w:val="525866"/>
          <w:sz w:val="22"/>
        </w:rPr>
        <w:t xml:space="preserve">Balance sheet: </w:t>
      </w:r>
      <w:r>
        <w:rPr>
          <w:rFonts w:ascii="Calibri" w:hAnsi="Calibri"/>
          <w:color w:val="525866"/>
          <w:sz w:val="22"/>
        </w:rPr>
        <w:t xml:space="preserve">ETR closed 2025 with the highest FFO/debt in the industry on a Moody's basis, targeting ≥15% in every year of the forecast. </w:t>
      </w:r>
      <w:r>
        <w:rPr>
          <w:rFonts w:ascii="Calibri" w:hAnsi="Calibri"/>
          <w:b/>
          <w:color w:val="525866"/>
          <w:sz w:val="22"/>
        </w:rPr>
        <w:t xml:space="preserve">DTE read-through: </w:t>
      </w:r>
      <w:r>
        <w:rPr>
          <w:rFonts w:ascii="Calibri" w:hAnsi="Calibri"/>
          <w:color w:val="525866"/>
          <w:sz w:val="22"/>
        </w:rPr>
        <w:t>DTE's ~12.7% trailing FFO/debt vs. ~15% target remains a gap to close; ETR's success in maintaining the threshold while executing a doubled capital plan is a constructive precedent.</w:t>
      </w:r>
    </w:p>
    <w:p>
      <w:pPr>
        <w:pStyle w:val="Heading2"/>
      </w:pPr>
      <w:r>
        <w:rPr>
          <w:rFonts w:ascii="Calibri" w:hAnsi="Calibri"/>
          <w:b/>
          <w:color w:val="3B4259"/>
          <w:sz w:val="28"/>
        </w:rPr>
        <w:t>Duke Energy (DUK) — Rate Settlement (July 17, 2026)</w:t>
      </w:r>
    </w:p>
    <w:p>
      <w:r>
        <w:rPr>
          <w:rFonts w:ascii="Calibri" w:hAnsi="Calibri"/>
          <w:b/>
          <w:color w:val="525866"/>
          <w:sz w:val="22"/>
        </w:rPr>
        <w:t xml:space="preserve">Relevance: </w:t>
      </w:r>
      <w:r>
        <w:rPr>
          <w:rFonts w:ascii="Calibri" w:hAnsi="Calibri"/>
          <w:color w:val="525866"/>
          <w:sz w:val="22"/>
        </w:rPr>
        <w:t>Duke Energy Carolinas filed a comprehensive rate settlement with North Carolina regulators on July 17, 2026, providing the most recent regulatory benchmark in the sector.</w:t>
      </w:r>
    </w:p>
    <w:p>
      <w:pPr>
        <w:pStyle w:val="ListBullet"/>
        <w:ind w:left="360" w:hanging="360"/>
      </w:pPr>
      <w:r>
        <w:rPr>
          <w:rFonts w:ascii="Calibri" w:hAnsi="Calibri"/>
          <w:b/>
          <w:color w:val="525866"/>
          <w:sz w:val="22"/>
        </w:rPr>
        <w:t xml:space="preserve">Settlement terms: </w:t>
      </w:r>
      <w:r>
        <w:rPr>
          <w:rFonts w:ascii="Calibri" w:hAnsi="Calibri"/>
          <w:color w:val="525866"/>
          <w:sz w:val="22"/>
        </w:rPr>
        <w:t xml:space="preserve">9.8% ROE on a 53% equity component; retail rate base of ~$25.7B; ~$3.8B of capital in the multi-year rate plan (MYRP) with an annual refund mechanism; one-time pre-tax charges of ~$40M in 2026 (excluded from adjusted earnings). </w:t>
      </w:r>
      <w:r>
        <w:rPr>
          <w:rFonts w:ascii="Calibri" w:hAnsi="Calibri"/>
          <w:b/>
          <w:color w:val="525866"/>
          <w:sz w:val="22"/>
        </w:rPr>
        <w:t xml:space="preserve">DTE read-through: </w:t>
      </w:r>
      <w:r>
        <w:rPr>
          <w:rFonts w:ascii="Calibri" w:hAnsi="Calibri"/>
          <w:color w:val="525866"/>
          <w:sz w:val="22"/>
        </w:rPr>
        <w:t>DTE's pending electric rate case requests 10.25% ROE and 51% equity layer — the DUK settlement at 9.8%/53% suggests DTE's ROE ask may face some pressure, though Michigan's regulatory environment has historically been constructive. The MYRP structure with a refund mechanism is analogous to DTE's proposed excess-margin capture mechanism for Oracle load.</w:t>
      </w:r>
    </w:p>
    <w:p>
      <w:pPr>
        <w:pStyle w:val="ListBullet"/>
        <w:ind w:left="360" w:hanging="360"/>
      </w:pPr>
      <w:r>
        <w:rPr>
          <w:rFonts w:ascii="Calibri" w:hAnsi="Calibri"/>
          <w:b/>
          <w:color w:val="525866"/>
          <w:sz w:val="22"/>
        </w:rPr>
        <w:t xml:space="preserve">Rate case delay mechanism: </w:t>
      </w:r>
      <w:r>
        <w:rPr>
          <w:rFonts w:ascii="Calibri" w:hAnsi="Calibri"/>
          <w:color w:val="525866"/>
          <w:sz w:val="22"/>
        </w:rPr>
        <w:t xml:space="preserve">The settlement includes an agreement to evaluate delaying DEC's next base rate case filing until no earlier than November 1, 2028, contingent on deferral of costs for new generating assets. </w:t>
      </w:r>
      <w:r>
        <w:rPr>
          <w:rFonts w:ascii="Calibri" w:hAnsi="Calibri"/>
          <w:b/>
          <w:color w:val="525866"/>
          <w:sz w:val="22"/>
        </w:rPr>
        <w:t xml:space="preserve">DTE read-through: </w:t>
      </w:r>
      <w:r>
        <w:rPr>
          <w:rFonts w:ascii="Calibri" w:hAnsi="Calibri"/>
          <w:color w:val="525866"/>
          <w:sz w:val="22"/>
        </w:rPr>
        <w:t>Directly analogous to DTE's proposed mechanism to refrain from filing another rate request until at least 2028 if Oracle load ramps by end of 2027 — the DUK precedent suggests regulators are receptive to multi-year rate stability frameworks tied to capital deployment.</w:t>
      </w:r>
    </w:p>
    <w:p>
      <w:pPr>
        <w:pStyle w:val="ListBullet"/>
        <w:ind w:left="360" w:hanging="360"/>
      </w:pPr>
      <w:r>
        <w:rPr>
          <w:rFonts w:ascii="Calibri" w:hAnsi="Calibri"/>
          <w:b/>
          <w:color w:val="525866"/>
          <w:sz w:val="22"/>
        </w:rPr>
        <w:t xml:space="preserve">Rate reduction from initial ask: </w:t>
      </w:r>
      <w:r>
        <w:rPr>
          <w:rFonts w:ascii="Calibri" w:hAnsi="Calibri"/>
          <w:color w:val="525866"/>
          <w:sz w:val="22"/>
        </w:rPr>
        <w:t xml:space="preserve">DUK cut its proposed residential rate increase from ~18% to ~9.5% following public pushback, with the final settlement at 5.9% Year 1 and 3.6% Year 2 (7.4% overall). </w:t>
      </w:r>
      <w:r>
        <w:rPr>
          <w:rFonts w:ascii="Calibri" w:hAnsi="Calibri"/>
          <w:b/>
          <w:color w:val="525866"/>
          <w:sz w:val="22"/>
        </w:rPr>
        <w:t xml:space="preserve">DTE read-through: </w:t>
      </w:r>
      <w:r>
        <w:rPr>
          <w:rFonts w:ascii="Calibri" w:hAnsi="Calibri"/>
          <w:color w:val="525866"/>
          <w:sz w:val="22"/>
        </w:rPr>
        <w:t>Illustrates the political sensitivity around utility rate increases in the current environment; DTE's affordability narrative (Google contract generating $1.7B in customer benefits) is strategically important for managing similar pushback in Michigan.</w:t>
      </w:r>
    </w:p>
    <w:p>
      <w:pPr>
        <w:pStyle w:val="Heading2"/>
      </w:pPr>
      <w:r>
        <w:rPr>
          <w:rFonts w:ascii="Calibri" w:hAnsi="Calibri"/>
          <w:b/>
          <w:color w:val="3B4259"/>
          <w:sz w:val="28"/>
        </w:rPr>
        <w:t>PG&amp;E (PCG) — Q2 2026 Earnings (Reported July 22, 2026)</w:t>
      </w:r>
    </w:p>
    <w:p>
      <w:r>
        <w:rPr>
          <w:rFonts w:ascii="Calibri" w:hAnsi="Calibri"/>
          <w:b/>
          <w:color w:val="525866"/>
          <w:sz w:val="22"/>
        </w:rPr>
        <w:t xml:space="preserve">Relevance: </w:t>
      </w:r>
      <w:r>
        <w:rPr>
          <w:rFonts w:ascii="Calibri" w:hAnsi="Calibri"/>
          <w:color w:val="525866"/>
          <w:sz w:val="22"/>
        </w:rPr>
        <w:t>PCG reported Q2 2026 results on July 22, providing a same-quarter read-through on regulated utility earnings and data center demand.</w:t>
      </w:r>
    </w:p>
    <w:p>
      <w:pPr>
        <w:pStyle w:val="ListBullet"/>
        <w:ind w:left="360" w:hanging="360"/>
      </w:pPr>
      <w:r>
        <w:rPr>
          <w:rFonts w:ascii="Calibri" w:hAnsi="Calibri"/>
          <w:b/>
          <w:color w:val="525866"/>
          <w:sz w:val="22"/>
        </w:rPr>
        <w:t xml:space="preserve">Q2 2026 EPS beat: </w:t>
      </w:r>
      <w:r>
        <w:rPr>
          <w:rFonts w:ascii="Calibri" w:hAnsi="Calibri"/>
          <w:color w:val="525866"/>
          <w:sz w:val="22"/>
        </w:rPr>
        <w:t xml:space="preserve">PCG reported adjusted EPS of $0.40 vs. $0.36 consensus (+11.1% beat), driven by higher customer bills, AI data center demand surge, and a favorable rate case decision. Overall operating expenses fell 3.4% YoY despite a 15.5% increase in wildfire fund expense. </w:t>
      </w:r>
      <w:r>
        <w:rPr>
          <w:rFonts w:ascii="Calibri" w:hAnsi="Calibri"/>
          <w:b/>
          <w:color w:val="525866"/>
          <w:sz w:val="22"/>
        </w:rPr>
        <w:t xml:space="preserve">DTE read-through: </w:t>
      </w:r>
      <w:r>
        <w:rPr>
          <w:rFonts w:ascii="Calibri" w:hAnsi="Calibri"/>
          <w:color w:val="525866"/>
          <w:sz w:val="22"/>
        </w:rPr>
        <w:t>Second consecutive peer beat in Q2 2026 (alongside NEE), confirming a broadly supportive operating environment for regulated utilities in the quarter. PCG's data center pipeline of &gt;12 GW further validates the demand backdrop.</w:t>
      </w:r>
    </w:p>
    <w:p>
      <w:pPr>
        <w:pStyle w:val="ListBullet"/>
        <w:ind w:left="360" w:hanging="360"/>
      </w:pPr>
      <w:r>
        <w:rPr>
          <w:rFonts w:ascii="Calibri" w:hAnsi="Calibri"/>
          <w:b/>
          <w:color w:val="525866"/>
          <w:sz w:val="22"/>
        </w:rPr>
        <w:t xml:space="preserve">Data center pipeline: </w:t>
      </w:r>
      <w:r>
        <w:rPr>
          <w:rFonts w:ascii="Calibri" w:hAnsi="Calibri"/>
          <w:color w:val="525866"/>
          <w:sz w:val="22"/>
        </w:rPr>
        <w:t xml:space="preserve">PCG advanced new data center projects with an overall pipeline of over 12 GW. </w:t>
      </w:r>
      <w:r>
        <w:rPr>
          <w:rFonts w:ascii="Calibri" w:hAnsi="Calibri"/>
          <w:b/>
          <w:color w:val="525866"/>
          <w:sz w:val="22"/>
        </w:rPr>
        <w:t xml:space="preserve">DTE read-through: </w:t>
      </w:r>
      <w:r>
        <w:rPr>
          <w:rFonts w:ascii="Calibri" w:hAnsi="Calibri"/>
          <w:color w:val="525866"/>
          <w:sz w:val="22"/>
        </w:rPr>
        <w:t>Consistent with the industry-wide hyperscaler demand surge; DTE's Michigan-based pipeline (Oracle 1.4 GW + Google 1 GW + ~2 GW in late-stage + 3–4 GW pipeline) is well-positioned relative to peers.</w:t>
      </w:r>
    </w:p>
    <w:p>
      <w:pPr>
        <w:pStyle w:val="Heading2"/>
      </w:pPr>
      <w:r>
        <w:rPr>
          <w:rFonts w:ascii="Calibri" w:hAnsi="Calibri"/>
          <w:b/>
          <w:color w:val="3B4259"/>
          <w:sz w:val="28"/>
        </w:rPr>
        <w:t>GE Vernova (GEV) — Q2 2026 Earnings (Reported July 22, 2026)</w:t>
      </w:r>
    </w:p>
    <w:p>
      <w:r>
        <w:rPr>
          <w:rFonts w:ascii="Calibri" w:hAnsi="Calibri"/>
          <w:b/>
          <w:color w:val="525866"/>
          <w:sz w:val="22"/>
        </w:rPr>
        <w:t xml:space="preserve">Relevance: </w:t>
      </w:r>
      <w:r>
        <w:rPr>
          <w:rFonts w:ascii="Calibri" w:hAnsi="Calibri"/>
          <w:color w:val="525866"/>
          <w:sz w:val="22"/>
        </w:rPr>
        <w:t>GEV is a key equipment supplier for utility generation and grid infrastructure; its results provide a read-through on supply chain conditions and power equipment demand.</w:t>
      </w:r>
    </w:p>
    <w:p>
      <w:pPr>
        <w:pStyle w:val="ListBullet"/>
        <w:ind w:left="360" w:hanging="360"/>
      </w:pPr>
      <w:r>
        <w:rPr>
          <w:rFonts w:ascii="Calibri" w:hAnsi="Calibri"/>
          <w:b/>
          <w:color w:val="525866"/>
          <w:sz w:val="22"/>
        </w:rPr>
        <w:t xml:space="preserve">Orders surge confirms demand: </w:t>
      </w:r>
      <w:r>
        <w:rPr>
          <w:rFonts w:ascii="Calibri" w:hAnsi="Calibri"/>
          <w:color w:val="525866"/>
          <w:sz w:val="22"/>
        </w:rPr>
        <w:t xml:space="preserve">GEV reported organic orders up 88% to $24.2B in Q2 2026, with backlog spiking. Revenue beat at $11.1B vs. $10.8B consensus. Full-year revenue guidance raised to $45.5–$46.5B (from $44.5–$45.5B). </w:t>
      </w:r>
      <w:r>
        <w:rPr>
          <w:rFonts w:ascii="Calibri" w:hAnsi="Calibri"/>
          <w:b/>
          <w:color w:val="525866"/>
          <w:sz w:val="22"/>
        </w:rPr>
        <w:t xml:space="preserve">DTE read-through: </w:t>
      </w:r>
      <w:r>
        <w:rPr>
          <w:rFonts w:ascii="Calibri" w:hAnsi="Calibri"/>
          <w:color w:val="525866"/>
          <w:sz w:val="22"/>
        </w:rPr>
        <w:t>The surge in power equipment orders confirms robust demand for generation and grid infrastructure — supportive of DTE's ability to procure equipment for its Oracle and Google data center build-out and IRP-driven generation additions.</w:t>
      </w:r>
    </w:p>
    <w:p>
      <w:pPr>
        <w:pStyle w:val="ListBullet"/>
        <w:ind w:left="360" w:hanging="360"/>
      </w:pPr>
      <w:r>
        <w:rPr>
          <w:rFonts w:ascii="Calibri" w:hAnsi="Calibri"/>
          <w:b/>
          <w:color w:val="525866"/>
          <w:sz w:val="22"/>
        </w:rPr>
        <w:t xml:space="preserve">Supply chain secured: </w:t>
      </w:r>
      <w:r>
        <w:rPr>
          <w:rFonts w:ascii="Calibri" w:hAnsi="Calibri"/>
          <w:color w:val="525866"/>
          <w:sz w:val="22"/>
        </w:rPr>
        <w:t xml:space="preserve">GEV has secured 24 GW of dispatchable generation and added 6 more turbines in the last 6 months. </w:t>
      </w:r>
      <w:r>
        <w:rPr>
          <w:rFonts w:ascii="Calibri" w:hAnsi="Calibri"/>
          <w:b/>
          <w:color w:val="525866"/>
          <w:sz w:val="22"/>
        </w:rPr>
        <w:t xml:space="preserve">DTE read-through: </w:t>
      </w:r>
      <w:r>
        <w:rPr>
          <w:rFonts w:ascii="Calibri" w:hAnsi="Calibri"/>
          <w:color w:val="525866"/>
          <w:sz w:val="22"/>
        </w:rPr>
        <w:t>Positive for DTE's capital execution timeline; equipment availability is a key risk for utilities executing large data center-driven capital programs.</w:t>
      </w:r>
    </w:p>
    <w:p>
      <w:pPr>
        <w:pStyle w:val="Heading2"/>
      </w:pPr>
      <w:r>
        <w:rPr>
          <w:rFonts w:ascii="Calibri" w:hAnsi="Calibri"/>
          <w:b/>
          <w:color w:val="3B4259"/>
          <w:sz w:val="28"/>
        </w:rPr>
        <w:t>Macro / Sector Read-Throughs (Last 60 Days)</w:t>
      </w:r>
    </w:p>
    <w:p>
      <w:pPr>
        <w:pStyle w:val="ListBullet"/>
        <w:ind w:left="360" w:hanging="360"/>
      </w:pPr>
      <w:r>
        <w:rPr>
          <w:rFonts w:ascii="Calibri" w:hAnsi="Calibri"/>
          <w:b/>
          <w:color w:val="525866"/>
          <w:sz w:val="22"/>
        </w:rPr>
        <w:t xml:space="preserve">PJM capacity auction (July 14, 2026): </w:t>
      </w:r>
      <w:r>
        <w:rPr>
          <w:rFonts w:ascii="Calibri" w:hAnsi="Calibri"/>
          <w:color w:val="525866"/>
          <w:sz w:val="22"/>
        </w:rPr>
        <w:t xml:space="preserve">PJM's annual capacity auction cleared near record highs at ~$325/MW-day (the maximum under a temporary price cap), with prices up &gt;1,000% since 2024 due to data center demand outstripping supply. PJM fell short of its reliability requirement for the second consecutive auction. </w:t>
      </w:r>
      <w:r>
        <w:rPr>
          <w:rFonts w:ascii="Calibri" w:hAnsi="Calibri"/>
          <w:b/>
          <w:color w:val="525866"/>
          <w:sz w:val="22"/>
        </w:rPr>
        <w:t xml:space="preserve">DTE read-through: </w:t>
      </w:r>
      <w:r>
        <w:rPr>
          <w:rFonts w:ascii="Calibri" w:hAnsi="Calibri"/>
          <w:color w:val="525866"/>
          <w:sz w:val="22"/>
        </w:rPr>
        <w:t>DTE operates in Michigan (MISO, not PJM), so direct capacity price exposure is limited; however, the tight supply/demand dynamic validates the strategic value of DTE's contracted data center load and the urgency of its IRP filing.</w:t>
      </w:r>
    </w:p>
    <w:p>
      <w:pPr>
        <w:pStyle w:val="ListBullet"/>
        <w:ind w:left="360" w:hanging="360"/>
      </w:pPr>
      <w:r>
        <w:rPr>
          <w:rFonts w:ascii="Calibri" w:hAnsi="Calibri"/>
          <w:b/>
          <w:color w:val="525866"/>
          <w:sz w:val="22"/>
        </w:rPr>
        <w:t xml:space="preserve">White House Ratepayer Protection Pledge (July 21–23, 2026): </w:t>
      </w:r>
      <w:r>
        <w:rPr>
          <w:rFonts w:ascii="Calibri" w:hAnsi="Calibri"/>
          <w:color w:val="525866"/>
          <w:sz w:val="22"/>
        </w:rPr>
        <w:t xml:space="preserve">NEE, DUK, Equinix, Digital Realty, and nearly 200 entities signed a voluntary pledge to ensure AI energy consumption doesn't push up utility bills. The pledge reinforces the "large load pays fair share" principle. </w:t>
      </w:r>
      <w:r>
        <w:rPr>
          <w:rFonts w:ascii="Calibri" w:hAnsi="Calibri"/>
          <w:b/>
          <w:color w:val="525866"/>
          <w:sz w:val="22"/>
        </w:rPr>
        <w:t xml:space="preserve">DTE read-through: </w:t>
      </w:r>
      <w:r>
        <w:rPr>
          <w:rFonts w:ascii="Calibri" w:hAnsi="Calibri"/>
          <w:color w:val="525866"/>
          <w:sz w:val="22"/>
        </w:rPr>
        <w:t>Aligns with DTE's Google contract structure and affordability narrative; reduces political risk around data center rate treatment in Michigan.</w:t>
      </w:r>
    </w:p>
    <w:p>
      <w:pPr>
        <w:pStyle w:val="ListBullet"/>
        <w:ind w:left="360" w:hanging="360"/>
      </w:pPr>
      <w:r>
        <w:rPr>
          <w:rFonts w:ascii="Calibri" w:hAnsi="Calibri"/>
          <w:b/>
          <w:color w:val="525866"/>
          <w:sz w:val="22"/>
        </w:rPr>
        <w:t xml:space="preserve">PJM grid disturbance (July 22, 2026): </w:t>
      </w:r>
      <w:r>
        <w:rPr>
          <w:rFonts w:ascii="Calibri" w:hAnsi="Calibri"/>
          <w:color w:val="525866"/>
          <w:sz w:val="22"/>
        </w:rPr>
        <w:t xml:space="preserve">A power line failure caused &gt;3 GW of data center load to drop simultaneously, taking 10+ minutes for the grid to stabilize — highlighting grid reliability risks from concentrated large loads. </w:t>
      </w:r>
      <w:r>
        <w:rPr>
          <w:rFonts w:ascii="Calibri" w:hAnsi="Calibri"/>
          <w:b/>
          <w:color w:val="525866"/>
          <w:sz w:val="22"/>
        </w:rPr>
        <w:t xml:space="preserve">DTE read-through: </w:t>
      </w:r>
      <w:r>
        <w:rPr>
          <w:rFonts w:ascii="Calibri" w:hAnsi="Calibri"/>
          <w:color w:val="525866"/>
          <w:sz w:val="22"/>
        </w:rPr>
        <w:t>Underscores the importance of DTE's proposed regulatory mechanism and credit protections in its data center contracts; also highlights the value of DTE's grid modernization investments in reducing outage risk.</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18 $1B debenture offering, which confirms DTE is actively funding its expanded capital plan. The pending MPSC Google approval (expected by September 10) and the unannounced DTE Vantage 350 MW deal are the two highest-impact catalysts for the Q2 call.</w:t>
      </w:r>
    </w:p>
    <w:p>
      <w:pPr>
        <w:pStyle w:val="ListBullet"/>
        <w:ind w:left="360" w:hanging="360"/>
      </w:pPr>
      <w:r>
        <w:rPr>
          <w:rFonts w:ascii="Calibri" w:hAnsi="Calibri"/>
          <w:b/>
          <w:color w:val="525866"/>
          <w:sz w:val="22"/>
        </w:rPr>
        <w:t xml:space="preserve">June 18, 2026 — DTE completes $1B debenture offering (8-K filed June 18). </w:t>
      </w:r>
      <w:r>
        <w:rPr>
          <w:rFonts w:ascii="Calibri" w:hAnsi="Calibri"/>
          <w:color w:val="525866"/>
          <w:sz w:val="22"/>
        </w:rPr>
        <w:t xml:space="preserve">DTE Energy completed a $1 billion debenture offering, providing long-term debt financing to support its accelerated capital investment plan. </w:t>
      </w:r>
      <w:r>
        <w:rPr>
          <w:rFonts w:ascii="Calibri" w:hAnsi="Calibri"/>
          <w:b/>
          <w:color w:val="525866"/>
          <w:sz w:val="22"/>
        </w:rPr>
        <w:t xml:space="preserve">Implication: </w:t>
      </w:r>
      <w:r>
        <w:rPr>
          <w:rFonts w:ascii="Calibri" w:hAnsi="Calibri"/>
          <w:color w:val="525866"/>
          <w:sz w:val="22"/>
        </w:rPr>
        <w:t>Confirms management's commitment to the expanded CapEx program; reduces near-term equity dilution risk and supports the $500–$600M annual equity issuance target.</w:t>
      </w:r>
    </w:p>
    <w:p>
      <w:pPr>
        <w:pStyle w:val="ListBullet"/>
        <w:ind w:left="360" w:hanging="360"/>
      </w:pPr>
      <w:r>
        <w:rPr>
          <w:rFonts w:ascii="Calibri" w:hAnsi="Calibri"/>
          <w:b/>
          <w:color w:val="525866"/>
          <w:sz w:val="22"/>
        </w:rPr>
        <w:t xml:space="preserve">June 22, 2026 — DTE reiterates 2026 operating earnings guidance at investor meeting (8-K filed June 22). </w:t>
      </w:r>
      <w:r>
        <w:rPr>
          <w:rFonts w:ascii="Calibri" w:hAnsi="Calibri"/>
          <w:color w:val="525866"/>
          <w:sz w:val="22"/>
        </w:rPr>
        <w:t xml:space="preserve">DTE presented at investor meetings (May 17–19 presentation re-filed June 22) reiterating 2026 operating EPS guidance. No numerical change from Q1 call guidance. </w:t>
      </w:r>
      <w:r>
        <w:rPr>
          <w:rFonts w:ascii="Calibri" w:hAnsi="Calibri"/>
          <w:b/>
          <w:color w:val="525866"/>
          <w:sz w:val="22"/>
        </w:rPr>
        <w:t xml:space="preserve">Implication: </w:t>
      </w:r>
      <w:r>
        <w:rPr>
          <w:rFonts w:ascii="Calibri" w:hAnsi="Calibri"/>
          <w:color w:val="525866"/>
          <w:sz w:val="22"/>
        </w:rPr>
        <w:t>Confirms management's confidence in the full-year outlook; no negative pre-announcement.</w:t>
      </w:r>
    </w:p>
    <w:p>
      <w:pPr>
        <w:pStyle w:val="ListBullet"/>
        <w:ind w:left="360" w:hanging="360"/>
      </w:pPr>
      <w:r>
        <w:rPr>
          <w:rFonts w:ascii="Calibri" w:hAnsi="Calibri"/>
          <w:b/>
          <w:color w:val="525866"/>
          <w:sz w:val="22"/>
        </w:rPr>
        <w:t xml:space="preserve">May 15, 2026 — DTE investor meetings (8-K filed May 15). </w:t>
      </w:r>
      <w:r>
        <w:rPr>
          <w:rFonts w:ascii="Calibri" w:hAnsi="Calibri"/>
          <w:color w:val="525866"/>
          <w:sz w:val="22"/>
        </w:rPr>
        <w:t xml:space="preserve">DTE met with investors May 17–19, 2026, discussing 2026 operating earnings guidance. Slide presentation made available on DTE's website. </w:t>
      </w:r>
      <w:r>
        <w:rPr>
          <w:rFonts w:ascii="Calibri" w:hAnsi="Calibri"/>
          <w:b/>
          <w:color w:val="525866"/>
          <w:sz w:val="22"/>
        </w:rPr>
        <w:t xml:space="preserve">Implication: </w:t>
      </w:r>
      <w:r>
        <w:rPr>
          <w:rFonts w:ascii="Calibri" w:hAnsi="Calibri"/>
          <w:color w:val="525866"/>
          <w:sz w:val="22"/>
        </w:rPr>
        <w:t>Post-Q1 investor outreach with no guidance revision signals management comfort with the current trajectory.</w:t>
      </w:r>
    </w:p>
    <w:p>
      <w:pPr>
        <w:pStyle w:val="ListBullet"/>
        <w:ind w:left="360" w:hanging="360"/>
      </w:pPr>
      <w:r>
        <w:rPr>
          <w:rFonts w:ascii="Calibri" w:hAnsi="Calibri"/>
          <w:b/>
          <w:color w:val="525866"/>
          <w:sz w:val="22"/>
        </w:rPr>
        <w:t xml:space="preserve">May 12, 2026 — Annual shareholder meeting (8-K filed May 12). </w:t>
      </w:r>
      <w:r>
        <w:rPr>
          <w:rFonts w:ascii="Calibri" w:hAnsi="Calibri"/>
          <w:color w:val="525866"/>
          <w:sz w:val="22"/>
        </w:rPr>
        <w:t xml:space="preserve">DTE shareholders elected all directors, approved executive pay, and ratified the auditor. No contested votes or governance surprises. </w:t>
      </w:r>
      <w:r>
        <w:rPr>
          <w:rFonts w:ascii="Calibri" w:hAnsi="Calibri"/>
          <w:b/>
          <w:color w:val="525866"/>
          <w:sz w:val="22"/>
        </w:rPr>
        <w:t xml:space="preserve">Implication: </w:t>
      </w:r>
      <w:r>
        <w:rPr>
          <w:rFonts w:ascii="Calibri" w:hAnsi="Calibri"/>
          <w:color w:val="525866"/>
          <w:sz w:val="22"/>
        </w:rPr>
        <w:t>Routine; no governance overhang heading into Q2 earnings.</w:t>
      </w:r>
    </w:p>
    <w:p>
      <w:pPr>
        <w:pStyle w:val="ListBullet"/>
        <w:ind w:left="360" w:hanging="360"/>
      </w:pPr>
      <w:r>
        <w:rPr>
          <w:rFonts w:ascii="Calibri" w:hAnsi="Calibri"/>
          <w:b/>
          <w:color w:val="525866"/>
          <w:sz w:val="22"/>
        </w:rPr>
        <w:t xml:space="preserve">Pending — MPSC order on Google 1 GW data center contract (expected by September 10, 2026). </w:t>
      </w:r>
      <w:r>
        <w:rPr>
          <w:rFonts w:ascii="Calibri" w:hAnsi="Calibri"/>
          <w:color w:val="525866"/>
          <w:sz w:val="22"/>
        </w:rPr>
        <w:t xml:space="preserve">DTE submitted Google's energy contracts to the MPSC in March 2026. The MPSC is expected to issue an order by September 10, 2026. Google's load is expected to fully ramp by end of 2028, driving ~$5B of incremental generation and storage investment through 2032. </w:t>
      </w:r>
      <w:r>
        <w:rPr>
          <w:rFonts w:ascii="Calibri" w:hAnsi="Calibri"/>
          <w:b/>
          <w:color w:val="525866"/>
          <w:sz w:val="22"/>
        </w:rPr>
        <w:t xml:space="preserve">Implication: </w:t>
      </w:r>
      <w:r>
        <w:rPr>
          <w:rFonts w:ascii="Calibri" w:hAnsi="Calibri"/>
          <w:color w:val="525866"/>
          <w:sz w:val="22"/>
        </w:rPr>
        <w:t>The single most important pending catalyst for DTE; approval would confirm ~$5B of incremental CapEx and ~$1.7B of customer affordability benefits, and could further delay the next electric rate case filing.</w:t>
      </w:r>
    </w:p>
    <w:p>
      <w:pPr>
        <w:pStyle w:val="ListBullet"/>
        <w:ind w:left="360" w:hanging="360"/>
      </w:pPr>
      <w:r>
        <w:rPr>
          <w:rFonts w:ascii="Calibri" w:hAnsi="Calibri"/>
          <w:b/>
          <w:color w:val="525866"/>
          <w:sz w:val="22"/>
        </w:rPr>
        <w:t xml:space="preserve">Pending — DTE Vantage 350 MW behind-the-meter deal (no public announcement as of July 27). </w:t>
      </w:r>
      <w:r>
        <w:rPr>
          <w:rFonts w:ascii="Calibri" w:hAnsi="Calibri"/>
          <w:color w:val="525866"/>
          <w:sz w:val="22"/>
        </w:rPr>
        <w:t xml:space="preserve">Management guided on the Q1 call (April 30) that a full agreement was expected "within the next several weeks." No public announcement has been made as of July 27. </w:t>
      </w:r>
      <w:r>
        <w:rPr>
          <w:rFonts w:ascii="Calibri" w:hAnsi="Calibri"/>
          <w:b/>
          <w:color w:val="525866"/>
          <w:sz w:val="22"/>
        </w:rPr>
        <w:t xml:space="preserve">Implication: </w:t>
      </w:r>
      <w:r>
        <w:rPr>
          <w:rFonts w:ascii="Calibri" w:hAnsi="Calibri"/>
          <w:color w:val="525866"/>
          <w:sz w:val="22"/>
        </w:rPr>
        <w:t>A deal announcement on the Q2 call would be a positive catalyst; continued silence raises questions about timing but management has not walked back the guidance.</w:t>
      </w:r>
    </w:p>
    <w:p>
      <w:pPr>
        <w:pStyle w:val="ListBullet"/>
        <w:ind w:left="360" w:hanging="360"/>
      </w:pPr>
      <w:r>
        <w:rPr>
          <w:rFonts w:ascii="Calibri" w:hAnsi="Calibri"/>
          <w:b/>
          <w:color w:val="525866"/>
          <w:sz w:val="22"/>
        </w:rPr>
        <w:t xml:space="preserve">Pending — IRP filing (expected Q3 2026). </w:t>
      </w:r>
      <w:r>
        <w:rPr>
          <w:rFonts w:ascii="Calibri" w:hAnsi="Calibri"/>
          <w:color w:val="525866"/>
          <w:sz w:val="22"/>
        </w:rPr>
        <w:t xml:space="preserve">DTE's Integrated Resource Plan will lay out its approach to meeting long-term generation and capacity needs, including significant data center load. Filing expected in Q3 2026. </w:t>
      </w:r>
      <w:r>
        <w:rPr>
          <w:rFonts w:ascii="Calibri" w:hAnsi="Calibri"/>
          <w:b/>
          <w:color w:val="525866"/>
          <w:sz w:val="22"/>
        </w:rPr>
        <w:t xml:space="preserve">Implication: </w:t>
      </w:r>
      <w:r>
        <w:rPr>
          <w:rFonts w:ascii="Calibri" w:hAnsi="Calibri"/>
          <w:color w:val="525866"/>
          <w:sz w:val="22"/>
        </w:rPr>
        <w:t>Will provide the clearest public visibility into DTE's long-term capital deployment and generation mix; a key event for investors modeling the 2027–2030 CapEx trajectory.</w:t>
      </w:r>
    </w:p>
    <w:p>
      <w:pPr>
        <w:pStyle w:val="ListBullet"/>
        <w:ind w:left="360" w:hanging="360"/>
      </w:pPr>
      <w:r>
        <w:rPr>
          <w:rFonts w:ascii="Calibri" w:hAnsi="Calibri"/>
          <w:b/>
          <w:color w:val="525866"/>
          <w:sz w:val="22"/>
        </w:rPr>
        <w:t xml:space="preserve">July 14, 2026 — DTE schedules Q2 2026 earnings release and conference call (press release). </w:t>
      </w:r>
      <w:r>
        <w:rPr>
          <w:rFonts w:ascii="Calibri" w:hAnsi="Calibri"/>
          <w:color w:val="525866"/>
          <w:sz w:val="22"/>
        </w:rPr>
        <w:t xml:space="preserve">DTE announced the Q2 2026 earnings release and conference call for July 28, 2026 at 9:00 AM ET. </w:t>
      </w:r>
      <w:r>
        <w:rPr>
          <w:rFonts w:ascii="Calibri" w:hAnsi="Calibri"/>
          <w:b/>
          <w:color w:val="525866"/>
          <w:sz w:val="22"/>
        </w:rPr>
        <w:t xml:space="preserve">Implication: </w:t>
      </w:r>
      <w:r>
        <w:rPr>
          <w:rFonts w:ascii="Calibri" w:hAnsi="Calibri"/>
          <w:color w:val="525866"/>
          <w:sz w:val="22"/>
        </w:rPr>
        <w:t>Routine scheduling announcement; no pre-announcement or guidance update included.</w:t>
      </w:r>
    </w:p>
    <w:p>
      <w:pPr>
        <w:pStyle w:val="ListBullet"/>
        <w:ind w:left="360" w:hanging="360"/>
      </w:pPr>
      <w:r>
        <w:rPr>
          <w:rFonts w:ascii="Calibri" w:hAnsi="Calibri"/>
          <w:b/>
          <w:color w:val="525866"/>
          <w:sz w:val="22"/>
        </w:rPr>
        <w:t xml:space="preserve">Sector — PJM capacity auction clears near record highs at ~$325/MW-day (July 14, 2026). </w:t>
      </w:r>
      <w:r>
        <w:rPr>
          <w:rFonts w:ascii="Calibri" w:hAnsi="Calibri"/>
          <w:color w:val="525866"/>
          <w:sz w:val="22"/>
        </w:rPr>
        <w:t xml:space="preserve">PJM's 2028–2029 capacity auction cleared at the maximum allowed price, with prices up &gt;1,000% since 2024. Constellation (18,875 MW), Vistra (10.9 GW), and NRG (6,839 MW) all cleared significant capacity. </w:t>
      </w:r>
      <w:r>
        <w:rPr>
          <w:rFonts w:ascii="Calibri" w:hAnsi="Calibri"/>
          <w:b/>
          <w:color w:val="525866"/>
          <w:sz w:val="22"/>
        </w:rPr>
        <w:t xml:space="preserve">Implication: </w:t>
      </w:r>
      <w:r>
        <w:rPr>
          <w:rFonts w:ascii="Calibri" w:hAnsi="Calibri"/>
          <w:color w:val="525866"/>
          <w:sz w:val="22"/>
        </w:rPr>
        <w:t>DTE operates in MISO (not PJM), limiting direct exposure; however, the tight capacity environment validates the strategic value of DTE's contracted data center load and generation investment plan.</w:t>
      </w:r>
    </w:p>
    <w:p>
      <w:pPr>
        <w:pStyle w:val="ListBullet"/>
        <w:ind w:left="360" w:hanging="360"/>
      </w:pPr>
      <w:r>
        <w:rPr>
          <w:rFonts w:ascii="Calibri" w:hAnsi="Calibri"/>
          <w:b/>
          <w:color w:val="525866"/>
          <w:sz w:val="22"/>
        </w:rPr>
        <w:t xml:space="preserve">Sector — White House Ratepayer Protection Pledge expanded (July 21–23, 2026). </w:t>
      </w:r>
      <w:r>
        <w:rPr>
          <w:rFonts w:ascii="Calibri" w:hAnsi="Calibri"/>
          <w:color w:val="525866"/>
          <w:sz w:val="22"/>
        </w:rPr>
        <w:t xml:space="preserve">Nearly 200 entities including NEE, DUK, Equinix, and Digital Realty signed a voluntary pledge to protect consumers from AI-driven utility bill increases. </w:t>
      </w:r>
      <w:r>
        <w:rPr>
          <w:rFonts w:ascii="Calibri" w:hAnsi="Calibri"/>
          <w:b/>
          <w:color w:val="525866"/>
          <w:sz w:val="22"/>
        </w:rPr>
        <w:t xml:space="preserve">Implication: </w:t>
      </w:r>
      <w:r>
        <w:rPr>
          <w:rFonts w:ascii="Calibri" w:hAnsi="Calibri"/>
          <w:color w:val="525866"/>
          <w:sz w:val="22"/>
        </w:rPr>
        <w:t>Reduces political risk around data center rate treatment; aligns with DTE's Google contract structure and affordability narrative.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Insider activity since the Q1 earnings date is minimal — a single discretionary open-market sale by a VP-level officer in May. No clustered buying or unusual selling patterns; the absence of insider buying is not a negative signal given the stock's modest underperformance and the typical 10b5-1 plan cadence at utilities.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Lisa A. Muschong</w:t>
            </w:r>
          </w:p>
        </w:tc>
        <w:tc>
          <w:tcPr>
            <w:tcW w:type="dxa" w:w="1234"/>
          </w:tcPr>
          <w:p>
            <w:r>
              <w:rPr>
                <w:rFonts w:ascii="Calibri" w:hAnsi="Calibri"/>
                <w:sz w:val="22"/>
              </w:rPr>
              <w:t>VP, Corporate Secretary &amp; Chief of Staff</w:t>
            </w:r>
          </w:p>
        </w:tc>
        <w:tc>
          <w:tcPr>
            <w:tcW w:type="dxa" w:w="1234"/>
          </w:tcPr>
          <w:p>
            <w:r>
              <w:rPr>
                <w:rFonts w:ascii="Calibri" w:hAnsi="Calibri"/>
                <w:sz w:val="22"/>
              </w:rPr>
              <w:t>Open Market Sale</w:t>
            </w:r>
          </w:p>
        </w:tc>
        <w:tc>
          <w:tcPr>
            <w:tcW w:type="dxa" w:w="1234"/>
          </w:tcPr>
          <w:p>
            <w:r>
              <w:rPr>
                <w:rFonts w:ascii="Calibri" w:hAnsi="Calibri"/>
                <w:sz w:val="22"/>
              </w:rPr>
              <w:t>1,000 shares</w:t>
            </w:r>
          </w:p>
        </w:tc>
        <w:tc>
          <w:tcPr>
            <w:tcW w:type="dxa" w:w="1234"/>
          </w:tcPr>
          <w:p>
            <w:r>
              <w:rPr>
                <w:rFonts w:ascii="Calibri" w:hAnsi="Calibri"/>
                <w:sz w:val="22"/>
              </w:rPr>
              <w:t>May 14, 2026</w:t>
            </w:r>
          </w:p>
        </w:tc>
        <w:tc>
          <w:tcPr>
            <w:tcW w:type="dxa" w:w="1234"/>
          </w:tcPr>
          <w:p>
            <w:r>
              <w:rPr>
                <w:rFonts w:ascii="Calibri" w:hAnsi="Calibri"/>
                <w:sz w:val="22"/>
              </w:rPr>
              <w:t>May 15, 2026</w:t>
            </w:r>
          </w:p>
        </w:tc>
        <w:tc>
          <w:tcPr>
            <w:tcW w:type="dxa" w:w="1234"/>
          </w:tcPr>
          <w:p>
            <w:r>
              <w:rPr>
                <w:rFonts w:ascii="Calibri" w:hAnsi="Calibri"/>
                <w:sz w:val="22"/>
              </w:rPr>
              <w:t>Discretionary sale (no 10b5-1 plan indicated); 1,000 shares out of 6,233 post-transaction (~14% of holdings). Not flagged as planned.</w:t>
            </w:r>
          </w:p>
        </w:tc>
      </w:tr>
    </w:tbl>
    <w:p>
      <w:r>
        <w:rPr>
          <w:rFonts w:ascii="Calibri" w:hAnsi="Calibri"/>
          <w:b/>
          <w:color w:val="525866"/>
          <w:sz w:val="22"/>
        </w:rPr>
        <w:t xml:space="preserve">Source: </w:t>
      </w:r>
      <w:r>
        <w:rPr>
          <w:rFonts w:ascii="Calibri" w:hAnsi="Calibri"/>
          <w:color w:val="525866"/>
          <w:sz w:val="22"/>
        </w:rPr>
        <w:t>SEC Form 4 filing, filed May 15, 2026 (transaction date May 14, 2026). Form 4 link: https://www.sec.gov/Archives/edgar/data/936340/000093634026000117/xslF345X06/wk-form4_1778857801.xml. Insider Transaction Data (SEC EDGAR).</w:t>
      </w:r>
    </w:p>
    <w:p>
      <w:r>
        <w:rPr>
          <w:rFonts w:ascii="Calibri" w:hAnsi="Calibri"/>
          <w:b/>
          <w:color w:val="525866"/>
          <w:sz w:val="22"/>
        </w:rPr>
        <w:t xml:space="preserve">Context: </w:t>
      </w:r>
      <w:r>
        <w:rPr>
          <w:rFonts w:ascii="Calibri" w:hAnsi="Calibri"/>
          <w:color w:val="525866"/>
          <w:sz w:val="22"/>
        </w:rPr>
        <w:t>The sale of 1,000 shares by a VP-level officer represents a modest position reduction and is not unusual in the context of normal portfolio management. No C-suite (CEO, CFO, COO) transactions were filed in the period from April 30 to July 27, 2026. The absence of executive-level selling or buying is neutral — consistent with a company in a quiet period ahead of earnings. No Form 144 (intended sale) filings were identified for DTE in the review period.</w:t>
      </w:r>
    </w:p>
    <w:p>
      <w:r>
        <w:br w:type="page"/>
      </w:r>
    </w:p>
    <w:p>
      <w:pPr>
        <w:pStyle w:val="Heading2"/>
      </w:pPr>
      <w:r>
        <w:rPr>
          <w:rFonts w:ascii="Calibri" w:hAnsi="Calibri"/>
          <w:b/>
          <w:color w:val="3B4259"/>
          <w:sz w:val="28"/>
        </w:rPr>
        <w:t>Disclosures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Operating EPS (Diluted), Electric Segment EPS, Gas Segment EPS, Total Revenue, Total CapEx, FFO/Total Debt. All consensus figures as of July 27, 2026 (latest) and as of May 7, 2026 (post-Q1 baseline). Source: https://insights.visiblealpha.com/mex/DTE_US/NMV/IS, /ISE, /ISG, /MT, /CF.</w:t>
      </w:r>
    </w:p>
    <w:p>
      <w:pPr>
        <w:pStyle w:val="ListBullet"/>
        <w:ind w:left="360" w:hanging="360"/>
      </w:pPr>
      <w:r>
        <w:rPr>
          <w:rFonts w:ascii="Calibri" w:hAnsi="Calibri"/>
          <w:b/>
          <w:color w:val="525866"/>
          <w:sz w:val="22"/>
        </w:rPr>
        <w:t>Stock Price Data</w:t>
      </w:r>
      <w:r>
        <w:rPr>
          <w:rFonts w:ascii="Calibri" w:hAnsi="Calibri"/>
          <w:color w:val="525866"/>
          <w:sz w:val="22"/>
        </w:rPr>
        <w:t xml:space="preserve"> — DTE, XLU, SPY daily close prices April 30 – July 28, 2026. Source: Yahoo Finance.</w:t>
      </w:r>
    </w:p>
    <w:p>
      <w:pPr>
        <w:pStyle w:val="ListBullet"/>
        <w:ind w:left="360" w:hanging="360"/>
      </w:pPr>
      <w:r>
        <w:rPr>
          <w:rFonts w:ascii="Calibri" w:hAnsi="Calibri"/>
          <w:b/>
          <w:color w:val="525866"/>
          <w:sz w:val="22"/>
        </w:rPr>
        <w:t>SEC Filings</w:t>
      </w:r>
      <w:r>
        <w:rPr>
          <w:rFonts w:ascii="Calibri" w:hAnsi="Calibri"/>
          <w:color w:val="525866"/>
          <w:sz w:val="22"/>
        </w:rPr>
        <w:t xml:space="preserve"> — DTE 8-K filings (May 15, June 18, June 22, July 14, 2026); Q1 2026 earnings release and transcript (April 30, 2026); Form 4 (May 15, 2026). Source: SEC EDGAR.</w:t>
      </w:r>
    </w:p>
    <w:p>
      <w:pPr>
        <w:pStyle w:val="ListBullet"/>
        <w:ind w:left="360" w:hanging="360"/>
      </w:pPr>
      <w:r>
        <w:rPr>
          <w:rFonts w:ascii="Calibri" w:hAnsi="Calibri"/>
          <w:b/>
          <w:color w:val="525866"/>
          <w:sz w:val="22"/>
        </w:rPr>
        <w:t>Peer Documents</w:t>
      </w:r>
      <w:r>
        <w:rPr>
          <w:rFonts w:ascii="Calibri" w:hAnsi="Calibri"/>
          <w:color w:val="525866"/>
          <w:sz w:val="22"/>
        </w:rPr>
        <w:t xml:space="preserve"> — NEE Q2 2026 earnings transcript and release (July 24, 2026); ETR Investor Day transcript (June 9, 2026); DUK rate settlement 8-K (July 17, 2026); PCG Q2 2026 earnings release (July 22, 2026); GEV Q2 2026 earnings release (July 22, 2026). Source: SEC EDGAR / Implied financial documents database.</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database. Filing-date window: April 30 – July 27, 2026.</w:t>
      </w:r>
    </w:p>
    <w:p>
      <w:pPr>
        <w:pStyle w:val="ListBullet"/>
        <w:ind w:left="360" w:hanging="360"/>
      </w:pPr>
      <w:r>
        <w:rPr>
          <w:rFonts w:ascii="Calibri" w:hAnsi="Calibri"/>
          <w:b/>
          <w:color w:val="525866"/>
          <w:sz w:val="22"/>
        </w:rPr>
        <w:t>Company Context</w:t>
      </w:r>
      <w:r>
        <w:rPr>
          <w:rFonts w:ascii="Calibri" w:hAnsi="Calibri"/>
          <w:color w:val="525866"/>
          <w:sz w:val="22"/>
        </w:rPr>
        <w:t xml:space="preserve"> — DTE Energy summary knowledge, key KPIs, earnings revision momentum, and stock performance decomposition. Source: Implied research platform.</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