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minor, immaterial item (small-scale product diversion, not a broad recall), so I'll mention it briefly as a footnote risk. Now I have enough to write a comprehensive preview.I now have a comprehensive picture. Let me write the earnings preview.# DexCom (DXCM) — Q2 2026 Earnings Preview</w:t>
      </w:r>
      <w:r>
        <w:t xml:space="preserve"> </w:t>
      </w:r>
      <w:r>
        <w:rPr>
          <w:b/>
          <w:bCs/>
        </w:rPr>
        <w:t xml:space="preserve">Report Date:</w:t>
      </w:r>
      <w:r>
        <w:t xml:space="preserve"> </w:t>
      </w:r>
      <w:r>
        <w:t xml:space="preserve">July 30, 2026 (after market close) |</w:t>
      </w:r>
      <w:r>
        <w:t xml:space="preserve"> </w:t>
      </w:r>
      <w:r>
        <w:rPr>
          <w:b/>
          <w:bCs/>
        </w:rPr>
        <w:t xml:space="preserve">Current Price:</w:t>
      </w:r>
      <w:r>
        <w:t xml:space="preserve"> </w:t>
      </w:r>
      <w:r>
        <w:t xml:space="preserve">~$75 |</w:t>
      </w:r>
      <w:r>
        <w:t xml:space="preserve"> </w:t>
      </w:r>
      <w:r>
        <w:rPr>
          <w:b/>
          <w:bCs/>
        </w:rPr>
        <w:t xml:space="preserve">52-Week Range:</w:t>
      </w:r>
      <w:r>
        <w:t xml:space="preserve"> </w:t>
      </w:r>
      <w:r>
        <w:t xml:space="preserve">$54.11 – $89.98</w:t>
      </w:r>
    </w:p>
    <w:p>
      <w:r>
        <w:pict>
          <v:rect style="width:0;height:1.5pt" o:hralign="center" o:hrstd="t" o:hr="t"/>
        </w:pict>
      </w:r>
    </w:p>
    <w:bookmarkStart w:id="9" w:name="setting-the-stage"/>
    <w:p>
      <w:pPr>
        <w:pStyle w:val="Heading2"/>
      </w:pPr>
      <w:r>
        <w:t xml:space="preserve">Setting the Stage</w:t>
      </w:r>
    </w:p>
    <w:p>
      <w:pPr>
        <w:pStyle w:val="FirstParagraph"/>
      </w:pPr>
      <w:r>
        <w:t xml:space="preserve">DexCom heads into its second-quarter print riding a wave of positive momentum: strong Q1 results, a well-received Investor Day, a positive CONNECT trial readout at ADA, and a string of sell-side price-target increases. The stock has run from the high-</w:t>
      </w:r>
      <m:oMath>
        <m:r>
          <m:t>50</m:t>
        </m:r>
        <m:r>
          <m:t>s</m:t>
        </m:r>
        <m:r>
          <m:rPr>
            <m:sty m:val="p"/>
          </m:rPr>
          <m:t>/</m:t>
        </m:r>
        <m:r>
          <m:t>l</m:t>
        </m:r>
        <m:r>
          <m:t>o</m:t>
        </m:r>
        <m:r>
          <m:t>w</m:t>
        </m:r>
        <m:r>
          <m:rPr>
            <m:sty m:val="p"/>
          </m:rPr>
          <m:t>−</m:t>
        </m:r>
      </m:oMath>
      <w:r>
        <w:t xml:space="preserve">60s in late April/early May to the mid-$70s today, touching a 52-week high near $78 in mid-June before pulling back modestly. Expectations are elevated heading into Wednesday's print.</w:t>
      </w:r>
    </w:p>
    <w:bookmarkEnd w:id="9"/>
    <w:bookmarkStart w:id="10" w:name="what-wall-street-expects"/>
    <w:p>
      <w:pPr>
        <w:pStyle w:val="Heading2"/>
      </w:pPr>
      <w:r>
        <w:t xml:space="preserve">What Wall Street Expects</w:t>
      </w:r>
    </w:p>
    <w:p>
      <w:pPr>
        <w:pStyle w:val="FirstParagraph"/>
      </w:pPr>
      <w:r>
        <w:t xml:space="preserve">Consensus for Q2 2026 calls for revenue of roughly</w:t>
      </w:r>
      <w:r>
        <w:t xml:space="preserve"> </w:t>
      </w:r>
      <m:oMath>
        <m:r>
          <m:t>1.3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(</m:t>
        </m:r>
        <m:r>
          <m:rPr>
            <m:sty m:val="p"/>
          </m:rPr>
          <m:t>+</m:t>
        </m:r>
        <m:r>
          <m:t>12</m:t>
        </m:r>
      </m:oMath>
      <w:r>
        <w:rPr>
          <w:b/>
          <w:bCs/>
        </w:rPr>
        <w:t xml:space="preserve">0.61 (+27% y/y)</w:t>
      </w:r>
      <w:r>
        <w:t xml:space="preserve">, according to Zacks estimates. DexCom has beaten Street EPS estimates in each of the last four quarters, most recently posting non-GAAP EPS of $0.56 in Q1 2026 (vs. guidance-implied expectations), so the bar for a "beat" is meaningfully embedded in the stock.</w:t>
      </w:r>
    </w:p>
    <w:bookmarkEnd w:id="10"/>
    <w:bookmarkStart w:id="11" w:name="q1-2026-recap--the-baseline"/>
    <w:p>
      <w:pPr>
        <w:pStyle w:val="Heading2"/>
      </w:pPr>
      <w:r>
        <w:t xml:space="preserve">Q1 2026 Recap — The Baseline</w:t>
      </w:r>
    </w:p>
    <w:p>
      <w:pPr>
        <w:pStyle w:val="FirstParagraph"/>
      </w:pPr>
      <w:r>
        <w:t xml:space="preserve">DexCom's first quarter set an encouraging tone:</w:t>
      </w:r>
    </w:p>
    <w:p>
      <w:pPr>
        <w:pStyle w:val="Compact"/>
        <w:numPr>
          <w:ilvl w:val="0"/>
          <w:numId w:val="1001"/>
        </w:numPr>
      </w:pPr>
      <w:r>
        <w:t xml:space="preserve">Worldwide revenue of</w:t>
      </w:r>
      <w:r>
        <w:t xml:space="preserve"> </w:t>
      </w:r>
      <w:r>
        <w:rPr>
          <w:b/>
          <w:bCs/>
        </w:rPr>
        <w:t xml:space="preserve">$1.192 billion, up 15% reported / 12% organic</w:t>
      </w:r>
      <w:r>
        <w:t xml:space="preserve">, with U.S. revenue up 11% to $832 million and international revenue up 26% reported (17% organic) to $360 million.</w:t>
      </w:r>
    </w:p>
    <w:p>
      <w:pPr>
        <w:pStyle w:val="Compact"/>
        <w:numPr>
          <w:ilvl w:val="0"/>
          <w:numId w:val="1001"/>
        </w:numPr>
      </w:pPr>
      <w:r>
        <w:t xml:space="preserve">Non-GAAP gross margin expanded to</w:t>
      </w:r>
      <w:r>
        <w:t xml:space="preserve"> </w:t>
      </w:r>
      <w:r>
        <w:rPr>
          <w:b/>
          <w:bCs/>
        </w:rPr>
        <w:t xml:space="preserve">63.5%</w:t>
      </w:r>
      <w:r>
        <w:t xml:space="preserve"> </w:t>
      </w:r>
      <w:r>
        <w:t xml:space="preserve">(from 57.5% a year ago), non-GAAP operating margin hit</w:t>
      </w:r>
      <w:r>
        <w:t xml:space="preserve"> </w:t>
      </w:r>
      <w:r>
        <w:rPr>
          <w:b/>
          <w:bCs/>
        </w:rPr>
        <w:t xml:space="preserve">22.2%</w:t>
      </w:r>
      <w:r>
        <w:t xml:space="preserve">, and Adjusted EBITDA margin reached</w:t>
      </w:r>
      <w:r>
        <w:t xml:space="preserve"> </w:t>
      </w:r>
      <w:r>
        <w:rPr>
          <w:b/>
          <w:bCs/>
        </w:rPr>
        <w:t xml:space="preserve">30.6%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Non-GAAP EPS of</w:t>
      </w:r>
      <w:r>
        <w:t xml:space="preserve"> </w:t>
      </w:r>
      <m:oMath>
        <m:r>
          <m:t>0.56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u</m:t>
        </m:r>
        <m:r>
          <m:t>p</m:t>
        </m:r>
        <m:r>
          <m:t>75</m:t>
        </m:r>
      </m:oMath>
      <w:r>
        <w:rPr>
          <w:b/>
          <w:bCs/>
        </w:rPr>
        <w:t xml:space="preserve">2.4 billion in cash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Management reaffirmed full-year revenue guidance of</w:t>
      </w:r>
      <w:r>
        <w:t xml:space="preserve"> </w:t>
      </w:r>
      <m:oMath>
        <m:r>
          <m:t>5.16</m:t>
        </m:r>
        <m:r>
          <m:rPr>
            <m:sty m:val="p"/>
          </m:rPr>
          <m:t>–</m:t>
        </m:r>
      </m:oMath>
      <w:r>
        <w:rPr>
          <w:b/>
          <w:bCs/>
        </w:rPr>
        <w:t xml:space="preserve">5.25 billion (11–13% growth)</w:t>
      </w:r>
      <w:r>
        <w:t xml:space="preserve"> </w:t>
      </w:r>
      <w:r>
        <w:t xml:space="preserve">and gross margin guidance of</w:t>
      </w:r>
      <w:r>
        <w:t xml:space="preserve"> </w:t>
      </w:r>
      <w:r>
        <w:rPr>
          <w:b/>
          <w:bCs/>
        </w:rPr>
        <w:t xml:space="preserve">63–64%</w:t>
      </w:r>
      <w:r>
        <w:t xml:space="preserve">, while</w:t>
      </w:r>
      <w:r>
        <w:t xml:space="preserve"> </w:t>
      </w:r>
      <w:r>
        <w:rPr>
          <w:b/>
          <w:bCs/>
        </w:rPr>
        <w:t xml:space="preserve">raising</w:t>
      </w:r>
      <w:r>
        <w:t xml:space="preserve"> </w:t>
      </w:r>
      <w:r>
        <w:t xml:space="preserve">non-GAAP operating margin guidance to</w:t>
      </w:r>
      <w:r>
        <w:t xml:space="preserve"> </w:t>
      </w:r>
      <w:r>
        <w:rPr>
          <w:b/>
          <w:bCs/>
        </w:rPr>
        <w:t xml:space="preserve">23–23.5%</w:t>
      </w:r>
      <w:r>
        <w:t xml:space="preserve"> </w:t>
      </w:r>
      <w:r>
        <w:t xml:space="preserve">and Adjusted EBITDA margin guidance to</w:t>
      </w:r>
      <w:r>
        <w:t xml:space="preserve"> </w:t>
      </w:r>
      <w:r>
        <w:rPr>
          <w:b/>
          <w:bCs/>
        </w:rPr>
        <w:t xml:space="preserve">31–31.5%</w:t>
      </w:r>
      <w:r>
        <w:t xml:space="preserve">.</w:t>
      </w:r>
    </w:p>
    <w:p>
      <w:pPr>
        <w:pStyle w:val="FirstParagraph"/>
      </w:pPr>
      <w:r>
        <w:t xml:space="preserve">A key nuance from the Q1 call: management is holding gross margin guidance flat despite Q1 outperformance because of an embedded</w:t>
      </w:r>
      <w:r>
        <w:t xml:space="preserve"> </w:t>
      </w:r>
      <w:r>
        <w:rPr>
          <w:b/>
          <w:bCs/>
        </w:rPr>
        <w:t xml:space="preserve">50–100 bps headwind from fuel and resin costs</w:t>
      </w:r>
      <w:r>
        <w:t xml:space="preserve"> </w:t>
      </w:r>
      <w:r>
        <w:t xml:space="preserve">tied to the geopolitical/oil environment — worth watching for an update.</w:t>
      </w:r>
    </w:p>
    <w:bookmarkEnd w:id="11"/>
    <w:bookmarkStart w:id="12" w:name="X7109c0326fa34a66358d13772d76a4361ebc54b"/>
    <w:p>
      <w:pPr>
        <w:pStyle w:val="Heading2"/>
      </w:pPr>
      <w:r>
        <w:t xml:space="preserve">Key Catalysts Since Q1 That Should Frame This Quarter</w:t>
      </w:r>
    </w:p>
    <w:p>
      <w:pPr>
        <w:pStyle w:val="FirstParagraph"/>
      </w:pPr>
      <w:r>
        <w:rPr>
          <w:b/>
          <w:bCs/>
        </w:rPr>
        <w:t xml:space="preserve">1. G7 15 Day rollout is the biggest near-term operational story.</w:t>
      </w:r>
      <w:r>
        <w:t xml:space="preserve"> </w:t>
      </w:r>
      <w:r>
        <w:t xml:space="preserve">DexCom expanded the G7 15 Day launch across all U.S. channels in Q1, and management guided to nearly 50% of the active base converting to the product by year-end, citing improved sensor accuracy and stronger NPS scores as drivers of both new-patient growth and retention. Investors will want an update on conversion pace and whether it's translating into sustained U.S. new-patient momentum (globally DexCom posted a record new-patient quarter in Q1, though the U.S. came in "close to" but not above a record for a fourth straight quarter — a point analysts pressed on).</w:t>
      </w:r>
    </w:p>
    <w:p>
      <w:pPr>
        <w:pStyle w:val="BodyText"/>
      </w:pPr>
      <w:r>
        <w:rPr>
          <w:b/>
          <w:bCs/>
        </w:rPr>
        <w:t xml:space="preserve">2. Type 2 non-insulin (T2NIT) reimbursement keeps expanding.</w:t>
      </w:r>
      <w:r>
        <w:t xml:space="preserve"> </w:t>
      </w:r>
      <w:r>
        <w:t xml:space="preserve">DexCom disclosed a new Prime Therapeutics win (effective this summer) that will push commercial coverage for the non-insulin T2 population above 7 million lives by year-end, building on the &gt;6 million lives already covered across the three largest PBMs.</w:t>
      </w:r>
    </w:p>
    <w:p>
      <w:pPr>
        <w:pStyle w:val="BodyText"/>
      </w:pPr>
      <w:r>
        <w:rPr>
          <w:b/>
          <w:bCs/>
        </w:rPr>
        <w:t xml:space="preserve">3. CONNECT randomized controlled trial data landed at ADA 2026 (June 6) — and looked strong.</w:t>
      </w:r>
      <w:r>
        <w:t xml:space="preserve"> </w:t>
      </w:r>
      <w:r>
        <w:t xml:space="preserve">The trial DexCom teased on the Q1 call as potentially the "defining study" for the non-insulin population showed Dexcom G7 users achieved a 1.6% A1C reduction from baseline over 26 weeks — 0.9 percentage points better than routine care — with 68% of users reaching an A1C below 7.5% and 46% below 7.0%. This is the clinical evidence base management has pointed to as central to unlocking broader payer (especially CMS/Medicare) coverage.</w:t>
      </w:r>
    </w:p>
    <w:p>
      <w:pPr>
        <w:pStyle w:val="BodyText"/>
      </w:pPr>
      <w:r>
        <w:rPr>
          <w:b/>
          <w:bCs/>
        </w:rPr>
        <w:t xml:space="preserve">4. Incremental CMS movement, but no final decision yet.</w:t>
      </w:r>
      <w:r>
        <w:t xml:space="preserve"> </w:t>
      </w:r>
      <w:r>
        <w:t xml:space="preserve">In mid-June, CMS took a procedural step by adding CGM devices approved for dosing to its definition of durable medical equipment — characterized by advocacy groups as a step toward Medicare eligibility for the T2NIT population, but this is not the same as a coverage determination. Management has consistently framed a full National Coverage Determination as "a matter of time" rather than assumed in near-term guidance, so any incremental commentary on timing will be a key focus for the call and stock reaction.</w:t>
      </w:r>
    </w:p>
    <w:p>
      <w:pPr>
        <w:pStyle w:val="BodyText"/>
      </w:pPr>
      <w:r>
        <w:rPr>
          <w:b/>
          <w:bCs/>
        </w:rPr>
        <w:t xml:space="preserve">5. Investor Day reset the long-term algorithm (May 14, 2026).</w:t>
      </w:r>
      <w:r>
        <w:t xml:space="preserve"> </w:t>
      </w:r>
      <w:r>
        <w:t xml:space="preserve">DexCom introduced new long-range targets:</w:t>
      </w:r>
      <w:r>
        <w:t xml:space="preserve"> </w:t>
      </w:r>
      <w:r>
        <w:rPr>
          <w:b/>
          <w:bCs/>
        </w:rPr>
        <w:t xml:space="preserve">10%+ organic revenue growth every year through 2030</w:t>
      </w:r>
      <w:r>
        <w:t xml:space="preserve">, 2030 non-GAAP gross margin of</w:t>
      </w:r>
      <w:r>
        <w:t xml:space="preserve"> </w:t>
      </w:r>
      <w:r>
        <w:rPr>
          <w:b/>
          <w:bCs/>
        </w:rPr>
        <w:t xml:space="preserve">67–69%</w:t>
      </w:r>
      <w:r>
        <w:t xml:space="preserve">, operating margin of</w:t>
      </w:r>
      <w:r>
        <w:t xml:space="preserve"> </w:t>
      </w:r>
      <w:r>
        <w:rPr>
          <w:b/>
          <w:bCs/>
        </w:rPr>
        <w:t xml:space="preserve">29–30%</w:t>
      </w:r>
      <w:r>
        <w:t xml:space="preserve">, and Adjusted EBITDA margin of</w:t>
      </w:r>
      <w:r>
        <w:t xml:space="preserve"> </w:t>
      </w:r>
      <w:r>
        <w:rPr>
          <w:b/>
          <w:bCs/>
        </w:rPr>
        <w:t xml:space="preserve">36–37%</w:t>
      </w:r>
      <w:r>
        <w:t xml:space="preserve">. The board also authorized a new</w:t>
      </w:r>
      <w:r>
        <w:t xml:space="preserve"> </w:t>
      </w:r>
      <w:r>
        <w:rPr>
          <w:b/>
          <w:bCs/>
        </w:rPr>
        <w:t xml:space="preserve">$1 billion share buyback program</w:t>
      </w:r>
      <w:r>
        <w:t xml:space="preserve"> </w:t>
      </w:r>
      <w:r>
        <w:t xml:space="preserve">(through June 2027), replacing the prior program's remaining $250 million — a signal of confidence and capital-return intent alongside continued reinvestment (Ireland manufacturing ramp, R&amp;D).</w:t>
      </w:r>
    </w:p>
    <w:p>
      <w:pPr>
        <w:pStyle w:val="BodyText"/>
      </w:pPr>
      <w:r>
        <w:rPr>
          <w:b/>
          <w:bCs/>
        </w:rPr>
        <w:t xml:space="preserve">6. Product pipeline expanding internationally.</w:t>
      </w:r>
      <w:r>
        <w:t xml:space="preserve"> </w:t>
      </w:r>
      <w:r>
        <w:t xml:space="preserve">DexCom launched</w:t>
      </w:r>
      <w:r>
        <w:t xml:space="preserve"> </w:t>
      </w:r>
      <w:r>
        <w:rPr>
          <w:b/>
          <w:bCs/>
        </w:rPr>
        <w:t xml:space="preserve">Dexcom Flex in Germany</w:t>
      </w:r>
      <w:r>
        <w:t xml:space="preserve"> </w:t>
      </w:r>
      <w:r>
        <w:t xml:space="preserve">(May 2026), a CGM tailored for basal insulin, oral medication, and GLP-1 users — extending the type-2 strategy that has worked domestically into a major European market. A redesigned Stelo app (more AI-driven insights, nutrition/macro tracking) rolled out domestically with an international launch planned later in 2026, and Smart Basal remains in a broadening pilot phase.</w:t>
      </w:r>
    </w:p>
    <w:p>
      <w:pPr>
        <w:pStyle w:val="BodyText"/>
      </w:pPr>
      <w:r>
        <w:rPr>
          <w:b/>
          <w:bCs/>
        </w:rPr>
        <w:t xml:space="preserve">7. Regulatory tailwind: FDA TEMPO pilot.</w:t>
      </w:r>
      <w:r>
        <w:t xml:space="preserve"> </w:t>
      </w:r>
      <w:r>
        <w:t xml:space="preserve">On July 22, DexCom was named the first participant in the FDA's new TEMPO digital health device pilot, which uses enforcement discretion to let the company offer an AI-powered glucose tool to Medicare patients ahead of full premarket authorization while generating real-world evidence — a potentially useful bridge toward earlier-stage/prediabetes screening use cases and further CMS engagement.</w:t>
      </w:r>
    </w:p>
    <w:bookmarkEnd w:id="12"/>
    <w:bookmarkStart w:id="13" w:name="margin--cost-watch-items"/>
    <w:p>
      <w:pPr>
        <w:pStyle w:val="Heading2"/>
      </w:pPr>
      <w:r>
        <w:t xml:space="preserve">Margin &amp; Cost Watch Items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Gross margin cadence:</w:t>
      </w:r>
      <w:r>
        <w:t xml:space="preserve"> </w:t>
      </w:r>
      <w:r>
        <w:t xml:space="preserve">Q1 margin held flat sequentially versus the typical Q4-to-Q1 step-down, which management attributed to manufacturing efficiencies, more normalized freight, and early G7 15 Day benefits. Watch for whether the previously flagged 50–100 bps fuel/resin headwind has moderated or intensified.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OpEx trajectory:</w:t>
      </w:r>
      <w:r>
        <w:t xml:space="preserve"> </w:t>
      </w:r>
      <w:r>
        <w:t xml:space="preserve">R&amp;D was flat y/y in Q1 but management explicitly said not to expect that to continue, given continued Ireland facility ramp ahead of its Q4 2026 turn-on and ongoing product investment (Smart Basal, Stelo, international launches).</w:t>
      </w:r>
    </w:p>
    <w:bookmarkEnd w:id="13"/>
    <w:bookmarkStart w:id="14" w:name="competitive-backdrop"/>
    <w:p>
      <w:pPr>
        <w:pStyle w:val="Heading2"/>
      </w:pPr>
      <w:r>
        <w:t xml:space="preserve">Competitive Backdrop</w:t>
      </w:r>
    </w:p>
    <w:p>
      <w:pPr>
        <w:pStyle w:val="FirstParagraph"/>
      </w:pPr>
      <w:r>
        <w:t xml:space="preserve">Abbott remains the U.S. CGM installed-base leader (reported near 48.5% share vs. DexCom's ~44.7% as of 2025, per commentary at JPMorgan's healthcare conference), and is pushing a dual-analyte glucose-ketone sensor strategy alongside broader Diabetes Care distribution. Medtronic is also a competitive factor in the category. DexCom's counter-strategy leans on product differentiation (15 Day wear, Smart Basal, Stelo, Flex), reimbursement execution in underpenetrated type-2 populations, and international access wins (e.g., recent gains in France and Canada, new tender wins converting exclusive competitor contracts to dual-source).</w:t>
      </w:r>
    </w:p>
    <w:bookmarkEnd w:id="14"/>
    <w:bookmarkStart w:id="15" w:name="minor-risk-item-to-note"/>
    <w:p>
      <w:pPr>
        <w:pStyle w:val="Heading2"/>
      </w:pPr>
      <w:r>
        <w:t xml:space="preserve">Minor Risk Item to Note</w:t>
      </w:r>
    </w:p>
    <w:p>
      <w:pPr>
        <w:pStyle w:val="FirstParagraph"/>
      </w:pPr>
      <w:r>
        <w:t xml:space="preserve">DexCom disclosed in late May that it discovered two lots of scrapped/destroyed product had been stolen by a third party and resold into the market; the company notified the FDA and affected users. This appears to be a contained supply-chain/quality issue rather than a broad product recall, but it's worth a sentence on the call if analysts ask about remediation costs or chain-of-custody controls.</w:t>
      </w:r>
    </w:p>
    <w:bookmarkEnd w:id="15"/>
    <w:bookmarkStart w:id="16" w:name="what-to-listen-for-on-the-call"/>
    <w:p>
      <w:pPr>
        <w:pStyle w:val="Heading2"/>
      </w:pPr>
      <w:r>
        <w:t xml:space="preserve">What to Listen For on the Call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Guidance:</w:t>
      </w:r>
      <w:r>
        <w:t xml:space="preserve"> </w:t>
      </w:r>
      <w:r>
        <w:t xml:space="preserve">Given Q1 strength and raised OpEx-margin guidance already, will management raise full-year revenue or gross-margin guidance, or continue to hold given cost uncertainty?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New patient starts / U.S. momentum:</w:t>
      </w:r>
      <w:r>
        <w:t xml:space="preserve"> </w:t>
      </w:r>
      <w:r>
        <w:t xml:space="preserve">Did the U.S. business post a record new-patient quarter, and how is 15 Day conversion tracking against the ~50%-by-year-end target?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CMS timeline:</w:t>
      </w:r>
      <w:r>
        <w:t xml:space="preserve"> </w:t>
      </w:r>
      <w:r>
        <w:t xml:space="preserve">Any incremental color on National Coverage Determination timing following the CONNECT data and the DME definition change.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International growth mix:</w:t>
      </w:r>
      <w:r>
        <w:t xml:space="preserve"> </w:t>
      </w:r>
      <w:r>
        <w:t xml:space="preserve">Whether the "roughly even" U.S./OUS growth split assumption embedded in guidance is holding, given tougher U.S. comps easing and international comps toughening in the back half.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Capital allocation:</w:t>
      </w:r>
      <w:r>
        <w:t xml:space="preserve"> </w:t>
      </w:r>
      <w:r>
        <w:t xml:space="preserve">Pace of buybacks under the new $1 billion authorization and any tuck-in M&amp;A commentary.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Margin puts and takes:</w:t>
      </w:r>
      <w:r>
        <w:t xml:space="preserve"> </w:t>
      </w:r>
      <w:r>
        <w:t xml:space="preserve">Update on fuel/resin cost headwinds and Ireland facility ramp costs ahead of Q4 activation.</w:t>
      </w:r>
    </w:p>
    <w:bookmarkEnd w:id="16"/>
    <w:bookmarkStart w:id="17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DexCom enters this print with strong underlying fundamentals (record global new-patient adds, margin expansion, raised long-term targets, a fresh $1B buyback) and a supportive newsflow backdrop (positive CONNECT RCT data, incremental CMS movement, FDA TEMPO selection, new international product launches). Multiple sell-side firms have raised price targets into the print (e.g., Truist to $87, Deutsche Bank initiating at $86), reflecting building confidence — which also raises the bar for what the market will consider a "good enough" quarter. The most market-moving elements are likely to be (1) any change to full-year guidance, (2) fresh detail on U.S. new-patient/15-Day conversion trends, and (3) any incremental signal on CMS coverage timing for the type-2 non-insulin population, which remains the single largest structural catalyst for the U.S. business.</w:t>
      </w:r>
    </w:p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2026-07-29T19:25:23Z</dcterms:created>
  <dcterms:modified xsi:type="dcterms:W3CDTF">2026-07-29T19:25:23Z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