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dxcm-earnings-predictions--2026-07-30"/>
    <w:p>
      <w:pPr>
        <w:pStyle w:val="Heading1"/>
      </w:pPr>
      <w:r>
        <w:t xml:space="preserve">DXCM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DXCM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~$1.310B vs. cons $1.290B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DXCM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~$0.64 vs. cons $0.61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DXCM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non-GAAP gross margin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~64.2% vs. cons 63.5%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DXCM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Revenue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~$5.24B vs. cons $5.22B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DXCM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Non-GAAP gross-margin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~64.0% vs. cons 63.5%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DXCM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Non-GAAP operating-margin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~23.75% vs. cons 23.5%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DXCM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+5.2%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DXCM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+6.4% (FOLLOW-THROUGH)</w:t>
            </w:r>
          </w:p>
        </w:tc>
        <w:tc>
          <w:tcPr/>
          <w:p>
            <w:pPr>
              <w:pStyle w:val="Compact"/>
            </w:pPr>
            <w:r>
              <w:t xml:space="preserve">A FY2026 revenue guide of ~$5.24B versus</w:t>
            </w:r>
            <w:r>
              <w:t xml:space="preserve"> </w:t>
            </w:r>
            <m:oMath>
              <m:r>
                <m:t>5.22</m:t>
              </m:r>
              <m:r>
                <m:t>B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e</m:t>
              </m:r>
              <m:r>
                <m:t>n</m:t>
              </m:r>
              <m:r>
                <m:t>s</m:t>
              </m:r>
              <m:r>
                <m:t>u</m:t>
              </m:r>
              <m:r>
                <m:t>s</m:t>
              </m:r>
              <m:r>
                <m:rPr>
                  <m:sty m:val="p"/>
                </m:rPr>
                <m:t>,</m:t>
              </m:r>
              <m:r>
                <m:t>f</m:t>
              </m:r>
              <m:r>
                <m:t>o</m:t>
              </m:r>
              <m:r>
                <m:t>l</m:t>
              </m:r>
              <m:r>
                <m:t>l</m:t>
              </m:r>
              <m:r>
                <m:t>o</m:t>
              </m:r>
              <m:r>
                <m:t>w</m:t>
              </m:r>
              <m:r>
                <m:t>i</m:t>
              </m:r>
              <m:r>
                <m:t>n</m:t>
              </m:r>
              <m:r>
                <m:t>g</m:t>
              </m:r>
              <m:r>
                <m:t>p</m:t>
              </m:r>
              <m:r>
                <m:t>r</m:t>
              </m:r>
              <m:r>
                <m:t>e</m:t>
              </m:r>
              <m:r>
                <m:t>d</m:t>
              </m:r>
              <m:r>
                <m:t>i</m:t>
              </m:r>
              <m:r>
                <m:t>c</m:t>
              </m:r>
              <m:r>
                <m:t>t</m:t>
              </m:r>
              <m:r>
                <m:t>e</m:t>
              </m:r>
              <m:r>
                <m:t>d</m:t>
              </m:r>
              <m:r>
                <m:t>Q</m:t>
              </m:r>
              <m:r>
                <m:t>2</m:t>
              </m:r>
              <m:r>
                <m:t>r</m:t>
              </m:r>
              <m:r>
                <m:t>e</m:t>
              </m:r>
              <m:r>
                <m:t>v</m:t>
              </m:r>
              <m:r>
                <m:t>e</m:t>
              </m:r>
              <m:r>
                <m:t>n</m:t>
              </m:r>
              <m:r>
                <m:t>u</m:t>
              </m:r>
              <m:r>
                <m:t>e</m:t>
              </m:r>
              <m:r>
                <m:t>o</m:t>
              </m:r>
              <m:r>
                <m:t>f</m:t>
              </m:r>
              <m:r>
                <m:t> </m:t>
              </m:r>
            </m:oMath>
            <w:r>
              <w:t xml:space="preserve">1.310B versus $1.290B consensus, leaves the implied second-half outlook modestly above Street rather than embedding a cut; higher gross- and operating-margin guidance should also drive positive EPS revisions after the initial move.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2026-07-29T19:21:17Z</dcterms:created>
  <dcterms:modified xsi:type="dcterms:W3CDTF">2026-07-29T19:21:17Z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