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dexcom-dxcm-q2-2026-earnings-preview"/>
    <w:p>
      <w:pPr>
        <w:pStyle w:val="Heading1"/>
      </w:pPr>
      <w:r>
        <w:t xml:space="preserve">Dexcom (DXCM) Q2 2026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Thursday, July 30, 2026</w:t>
      </w:r>
      <w:r>
        <w:br/>
      </w:r>
      <w:r>
        <w:rPr>
          <w:b/>
          <w:bCs/>
        </w:rPr>
        <w:t xml:space="preserve">Focus:</w:t>
      </w:r>
      <w:r>
        <w:t xml:space="preserve"> </w:t>
      </w:r>
      <w:r>
        <w:t xml:space="preserve">Revenue durability, G7 15-Day adoption, margin follow-through, and whether management raises its 2026 outlook.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Dexcom enters Q2 after a strong start to 2026 and an Investor Day that reset the long-term narrative around broader continuous-glucose-monitoring (CGM) access, product innovation, international expansion, and margin/cash-flow potential. The near-term question is less whether Dexcom can grow—it delivered</w:t>
      </w:r>
      <w:r>
        <w:t xml:space="preserve"> </w:t>
      </w:r>
      <w:r>
        <w:rPr>
          <w:b/>
          <w:bCs/>
        </w:rPr>
        <w:t xml:space="preserve">15% reported / 12% organic revenue growth in Q1</w:t>
      </w:r>
      <w:r>
        <w:t xml:space="preserve">—and more whether its execution is strong enough to support a higher 2026 outlook while investing for the next growth leg.</w:t>
      </w:r>
    </w:p>
    <w:p>
      <w:pPr>
        <w:pStyle w:val="BodyText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$75.38 on July 29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26.6% since the April 30 Q1 earnings release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13.3% year to date</w:t>
      </w:r>
      <w:r>
        <w:t xml:space="preserve">. That recovery raises the bar: investors will likely want evidence that U.S. demand is improving, G7 15-Day is accelerating conversions and new starts, and Q1’s unusually strong profitability was sustainable rather than simply a favorable first-quarter outcome.</w:t>
      </w:r>
    </w:p>
    <w:bookmarkEnd w:id="9"/>
    <w:bookmarkStart w:id="13" w:name="what-matters-most-this-quarter"/>
    <w:p>
      <w:pPr>
        <w:pStyle w:val="Heading2"/>
      </w:pPr>
      <w:r>
        <w:t xml:space="preserve">What matters most this quarter</w:t>
      </w:r>
    </w:p>
    <w:bookmarkStart w:id="10" w:name="X4643f740a8b7c5e813a854df289524453e89c07"/>
    <w:p>
      <w:pPr>
        <w:pStyle w:val="Heading3"/>
      </w:pPr>
      <w:r>
        <w:t xml:space="preserve">1. Can revenue remain consistent with the 11–13% full-year growth guide?</w:t>
      </w:r>
    </w:p>
    <w:p>
      <w:pPr>
        <w:pStyle w:val="FirstParagraph"/>
      </w:pPr>
      <w:r>
        <w:t xml:space="preserve">Dexcom’s current 2026 revenue guide is</w:t>
      </w:r>
      <w:r>
        <w:t xml:space="preserve"> </w:t>
      </w:r>
      <w:r>
        <w:rPr>
          <w:b/>
          <w:bCs/>
        </w:rPr>
        <w:t xml:space="preserve">$5.16 billion to</w:t>
      </w:r>
      <w:r>
        <w:rPr>
          <w:b/>
          <w:bCs/>
        </w:rPr>
        <w:t xml:space="preserve"> </w:t>
      </w:r>
      <m:oMath>
        <m:r>
          <m:t>5.25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o</m:t>
        </m:r>
        <m:r>
          <m:t>r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11</m:t>
        </m:r>
        <m:r>
          <m:rPr>
            <m:sty m:val="p"/>
          </m:rPr>
          <m:t>–</m:t>
        </m:r>
        <m:r>
          <m:t>13</m:t>
        </m:r>
      </m:oMath>
      <w:r>
        <w:rPr>
          <w:b/>
          <w:bCs/>
        </w:rPr>
        <w:t xml:space="preserve">1.192 billion in Q1</w:t>
      </w:r>
      <w:r>
        <w:t xml:space="preserve">, the company needs</w:t>
      </w:r>
      <w:r>
        <w:t xml:space="preserve"> </w:t>
      </w:r>
      <w:r>
        <w:rPr>
          <w:b/>
          <w:bCs/>
        </w:rPr>
        <w:t xml:space="preserve">$3.968 billion to $4.058 billion</w:t>
      </w:r>
      <w:r>
        <w:t xml:space="preserve"> </w:t>
      </w:r>
      <w:r>
        <w:t xml:space="preserve">across Q2–Q4 to achieve that range.</w:t>
      </w:r>
    </w:p>
    <w:p>
      <w:pPr>
        <w:pStyle w:val="BodyText"/>
      </w:pPr>
      <w:r>
        <w:t xml:space="preserve">The Q2 comparison is manageable but not trivial: Q2 2025 revenue grew 15% to</w:t>
      </w:r>
      <w:r>
        <w:t xml:space="preserve"> </w:t>
      </w:r>
      <w:r>
        <w:rPr>
          <w:b/>
          <w:bCs/>
        </w:rPr>
        <w:t xml:space="preserve">$1.157 billion</w:t>
      </w:r>
      <w:r>
        <w:t xml:space="preserve">, including 15% U.S. growth and 16% international growth. Investors should look beyond the consolidated headline to determine whether growth is balanced between the U.S. and international markets.</w:t>
      </w:r>
    </w:p>
    <w:p>
      <w:pPr>
        <w:pStyle w:val="BodyText"/>
      </w:pPr>
      <w:r>
        <w:rPr>
          <w:b/>
          <w:bCs/>
        </w:rPr>
        <w:t xml:space="preserve">Key revenue questions:</w:t>
      </w:r>
    </w:p>
    <w:p>
      <w:pPr>
        <w:pStyle w:val="Compact"/>
        <w:numPr>
          <w:ilvl w:val="0"/>
          <w:numId w:val="1001"/>
        </w:numPr>
      </w:pPr>
      <w:r>
        <w:t xml:space="preserve">Is U.S. growth reaccelerating from Q1’s 11% rate, or still constrained by relatively modest new reimbursement unlocks?</w:t>
      </w:r>
    </w:p>
    <w:p>
      <w:pPr>
        <w:pStyle w:val="Compact"/>
        <w:numPr>
          <w:ilvl w:val="0"/>
          <w:numId w:val="1001"/>
        </w:numPr>
      </w:pPr>
      <w:r>
        <w:t xml:space="preserve">Can international growth remain a meaningful offset after growing 26% reported and 17% organic in Q1?</w:t>
      </w:r>
    </w:p>
    <w:p>
      <w:pPr>
        <w:pStyle w:val="Compact"/>
        <w:numPr>
          <w:ilvl w:val="0"/>
          <w:numId w:val="1001"/>
        </w:numPr>
      </w:pPr>
      <w:r>
        <w:t xml:space="preserve">Does management retain its view that U.S. and international growth will be relatively balanced for the full year?</w:t>
      </w:r>
    </w:p>
    <w:p>
      <w:pPr>
        <w:pStyle w:val="Compact"/>
        <w:numPr>
          <w:ilvl w:val="0"/>
          <w:numId w:val="1001"/>
        </w:numPr>
      </w:pPr>
      <w:r>
        <w:t xml:space="preserve">Is Stelo tracking to its expected roughly one-point contribution to 2026 growth?</w:t>
      </w:r>
    </w:p>
    <w:p>
      <w:pPr>
        <w:pStyle w:val="FirstParagraph"/>
      </w:pPr>
      <w:r>
        <w:t xml:space="preserve">A reiteration of guidance would be acceptable if quarterly execution is solid, but a raise—particularly to revenue—would be a stronger signal given the Q1 start, G7 15-Day momentum, and incremental commercial coverage wins.</w:t>
      </w:r>
    </w:p>
    <w:bookmarkEnd w:id="10"/>
    <w:bookmarkStart w:id="11" w:name="X1f7e6854ddb6d75908c67522c66418ef306423e"/>
    <w:p>
      <w:pPr>
        <w:pStyle w:val="Heading3"/>
      </w:pPr>
      <w:r>
        <w:t xml:space="preserve">2. G7 15-Day: adoption, new-patient starts, and share gains</w:t>
      </w:r>
    </w:p>
    <w:p>
      <w:pPr>
        <w:pStyle w:val="FirstParagraph"/>
      </w:pPr>
      <w:r>
        <w:t xml:space="preserve">G7 15-Day is the central near-term commercial variable. Dexcom expanded the product across all U.S. channels in Q1 and said it expected to convert</w:t>
      </w:r>
      <w:r>
        <w:t xml:space="preserve"> </w:t>
      </w:r>
      <w:r>
        <w:rPr>
          <w:b/>
          <w:bCs/>
        </w:rPr>
        <w:t xml:space="preserve">nearly half of its U.S. installed base by year-end</w:t>
      </w:r>
      <w:r>
        <w:t xml:space="preserve">. Management has highlighted better accuracy, longer wear, improved customer satisfaction, and more favorable manufacturing economics.</w:t>
      </w:r>
    </w:p>
    <w:p>
      <w:pPr>
        <w:pStyle w:val="BodyText"/>
      </w:pPr>
      <w:r>
        <w:t xml:space="preserve">For Q2, the most important disclosures will be qualitative rather than necessarily numerical: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Conversion pace:</w:t>
      </w:r>
      <w:r>
        <w:t xml:space="preserve"> </w:t>
      </w:r>
      <w:r>
        <w:t xml:space="preserve">Is the company on track for roughly 50% U.S. base conversion by year-end?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Demand creation:</w:t>
      </w:r>
      <w:r>
        <w:t xml:space="preserve"> </w:t>
      </w:r>
      <w:r>
        <w:t xml:space="preserve">Is longer sensor wear helping attract new users, not merely shifting existing customers between SKUs?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Retention and utilization:</w:t>
      </w:r>
      <w:r>
        <w:t xml:space="preserve"> </w:t>
      </w:r>
      <w:r>
        <w:t xml:space="preserve">Dexcom has said retention has been stable, while higher customer satisfaction could improve longer-term retention and wear-time.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Competitive position:</w:t>
      </w:r>
      <w:r>
        <w:t xml:space="preserve"> </w:t>
      </w:r>
      <w:r>
        <w:t xml:space="preserve">Management cited Q1 share gains in both U.S. and international markets, especially among type 2 patients. Investors will want confirmation that this was sustained rather than launch-related.</w:t>
      </w:r>
    </w:p>
    <w:p>
      <w:pPr>
        <w:pStyle w:val="FirstParagraph"/>
      </w:pPr>
      <w:r>
        <w:t xml:space="preserve">The product has strategic importance beyond Q2 revenue. A successful conversion supports revenue growth, customer experience, gross-margin expansion, and Dexcom’s competitive positioning before the planned G8 launch in late 2027 or early 2028.</w:t>
      </w:r>
    </w:p>
    <w:bookmarkEnd w:id="11"/>
    <w:bookmarkStart w:id="12" w:name="X700c37bbf3daca61de726e3a38ddcbe655113e5"/>
    <w:p>
      <w:pPr>
        <w:pStyle w:val="Heading3"/>
      </w:pPr>
      <w:r>
        <w:t xml:space="preserve">3. Margins may be as important as sales</w:t>
      </w:r>
    </w:p>
    <w:p>
      <w:pPr>
        <w:pStyle w:val="FirstParagraph"/>
      </w:pPr>
      <w:r>
        <w:t xml:space="preserve">Q1 demonstrated a material earnings inflection: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$0.32</w:t>
            </w:r>
          </w:p>
        </w:tc>
      </w:tr>
    </w:tbl>
    <w:p>
      <w:pPr>
        <w:pStyle w:val="BodyText"/>
      </w:pPr>
      <w:r>
        <w:t xml:space="preserve">The key debate for Q2 is whether Q1’s margin strength is repeatable. Dexcom retained full-year non-GAAP gross-margin guidance of approximately</w:t>
      </w:r>
      <w:r>
        <w:t xml:space="preserve"> </w:t>
      </w:r>
      <w:r>
        <w:rPr>
          <w:b/>
          <w:bCs/>
        </w:rPr>
        <w:t xml:space="preserve">63–64%</w:t>
      </w:r>
      <w:r>
        <w:t xml:space="preserve">, despite indicating that absent higher fuel and resin costs it likely would have raised the forecast. Management quantified the potential gross-margin risk from those inputs at roughly</w:t>
      </w:r>
      <w:r>
        <w:t xml:space="preserve"> </w:t>
      </w:r>
      <w:r>
        <w:rPr>
          <w:b/>
          <w:bCs/>
        </w:rPr>
        <w:t xml:space="preserve">50–100 basis points</w:t>
      </w:r>
      <w:r>
        <w:t xml:space="preserve">.</w:t>
      </w:r>
    </w:p>
    <w:p>
      <w:pPr>
        <w:pStyle w:val="BodyText"/>
      </w:pPr>
      <w:r>
        <w:t xml:space="preserve">At the same time, it raised full-year non-GAAP operating-margin guidance to</w:t>
      </w:r>
      <w:r>
        <w:t xml:space="preserve"> </w:t>
      </w:r>
      <w:r>
        <w:rPr>
          <w:b/>
          <w:bCs/>
        </w:rPr>
        <w:t xml:space="preserve">23–23.5%</w:t>
      </w:r>
      <w:r>
        <w:t xml:space="preserve"> </w:t>
      </w:r>
      <w:r>
        <w:t xml:space="preserve">and adjusted EBITDA margin guidance to</w:t>
      </w:r>
      <w:r>
        <w:t xml:space="preserve"> </w:t>
      </w:r>
      <w:r>
        <w:rPr>
          <w:b/>
          <w:bCs/>
        </w:rPr>
        <w:t xml:space="preserve">31–31.5%</w:t>
      </w:r>
      <w:r>
        <w:t xml:space="preserve">. That implies confidence in operational leverage even as the company increases R&amp;D, prepares its Ireland manufacturing facility for a Q4 start-up, and invests internationally.</w:t>
      </w:r>
    </w:p>
    <w:p>
      <w:pPr>
        <w:pStyle w:val="BodyText"/>
      </w:pPr>
      <w:r>
        <w:rPr>
          <w:b/>
          <w:bCs/>
        </w:rPr>
        <w:t xml:space="preserve">What would be constructive:</w:t>
      </w:r>
    </w:p>
    <w:p>
      <w:pPr>
        <w:pStyle w:val="Compact"/>
        <w:numPr>
          <w:ilvl w:val="0"/>
          <w:numId w:val="1003"/>
        </w:numPr>
      </w:pPr>
      <w:r>
        <w:t xml:space="preserve">Non-GAAP gross margin remains around, or only modestly below, the 63–64% annual framework.</w:t>
      </w:r>
    </w:p>
    <w:p>
      <w:pPr>
        <w:pStyle w:val="Compact"/>
        <w:numPr>
          <w:ilvl w:val="0"/>
          <w:numId w:val="1003"/>
        </w:numPr>
      </w:pPr>
      <w:r>
        <w:t xml:space="preserve">Operating-margin progression is maintained despite planned R&amp;D and facility-ramp spending.</w:t>
      </w:r>
    </w:p>
    <w:p>
      <w:pPr>
        <w:pStyle w:val="Compact"/>
        <w:numPr>
          <w:ilvl w:val="0"/>
          <w:numId w:val="1003"/>
        </w:numPr>
      </w:pPr>
      <w:r>
        <w:t xml:space="preserve">Management narrows or reduces the fuel/resin risk commentary.</w:t>
      </w:r>
    </w:p>
    <w:p>
      <w:pPr>
        <w:pStyle w:val="Compact"/>
        <w:numPr>
          <w:ilvl w:val="0"/>
          <w:numId w:val="1003"/>
        </w:numPr>
      </w:pPr>
      <w:r>
        <w:t xml:space="preserve">Free cash flow stays robust, reinforcing capacity for repurchases and selective M&amp;A.</w:t>
      </w:r>
    </w:p>
    <w:p>
      <w:pPr>
        <w:pStyle w:val="FirstParagraph"/>
      </w:pPr>
      <w:r>
        <w:rPr>
          <w:b/>
          <w:bCs/>
        </w:rPr>
        <w:t xml:space="preserve">What would concern investors:</w:t>
      </w:r>
    </w:p>
    <w:p>
      <w:pPr>
        <w:pStyle w:val="Compact"/>
        <w:numPr>
          <w:ilvl w:val="0"/>
          <w:numId w:val="1004"/>
        </w:numPr>
      </w:pPr>
      <w:r>
        <w:t xml:space="preserve">A sharp gross-margin step-down blamed on input costs, mix, or manufacturing execution.</w:t>
      </w:r>
    </w:p>
    <w:p>
      <w:pPr>
        <w:pStyle w:val="Compact"/>
        <w:numPr>
          <w:ilvl w:val="0"/>
          <w:numId w:val="1004"/>
        </w:numPr>
      </w:pPr>
      <w:r>
        <w:t xml:space="preserve">Larger-than-anticipated expense growth.</w:t>
      </w:r>
    </w:p>
    <w:p>
      <w:pPr>
        <w:pStyle w:val="Compact"/>
        <w:numPr>
          <w:ilvl w:val="0"/>
          <w:numId w:val="1004"/>
        </w:numPr>
      </w:pPr>
      <w:r>
        <w:t xml:space="preserve">Commentary suggesting G7 15-Day savings are slower to materialize.</w:t>
      </w:r>
    </w:p>
    <w:bookmarkEnd w:id="12"/>
    <w:bookmarkEnd w:id="13"/>
    <w:bookmarkStart w:id="14" w:name="X81dfd9e70c5f400adce740180213709b4a8326a"/>
    <w:p>
      <w:pPr>
        <w:pStyle w:val="Heading2"/>
      </w:pPr>
      <w:r>
        <w:t xml:space="preserve">Reimbursement: the biggest strategic swing factor, but not a 2026 earnings driver</w:t>
      </w:r>
    </w:p>
    <w:p>
      <w:pPr>
        <w:pStyle w:val="FirstParagraph"/>
      </w:pPr>
      <w:r>
        <w:t xml:space="preserve">The biggest long-term upside remains U.S. Medicare coverage for people with type 2 diabetes not using insulin. At its May Investor Day, Dexcom said it expects a coverage decision by the end of 2026, with coverage becoming effective around mid-2027 in its planning assumptions.</w:t>
      </w:r>
    </w:p>
    <w:p>
      <w:pPr>
        <w:pStyle w:val="BodyText"/>
      </w:pPr>
      <w:r>
        <w:t xml:space="preserve">That timing means CMS coverage should not be embedded as a major 2026 revenue driver. Still, an update on agency engagement, the clinical evidence base, or expected implementation timing could materially affect investor sentiment.</w:t>
      </w:r>
    </w:p>
    <w:p>
      <w:pPr>
        <w:pStyle w:val="BodyText"/>
      </w:pPr>
      <w:r>
        <w:t xml:space="preserve">The nearer-term U.S. access catalyst is</w:t>
      </w:r>
      <w:r>
        <w:t xml:space="preserve"> </w:t>
      </w:r>
      <w:r>
        <w:rPr>
          <w:b/>
          <w:bCs/>
        </w:rPr>
        <w:t xml:space="preserve">Prime Therapeutics</w:t>
      </w:r>
      <w:r>
        <w:t xml:space="preserve">, which was expected to begin covering Dexcom CGM for all people with diabetes during the summer. Management previously said this should help expand commercial coverage for type 2 non-insulin users to more than 7 million lives by year-end. Q2 may capture little direct revenue contribution depending on implementation timing, but commentary on early physician awareness, prescription activity, and sales-force readiness will matter.</w:t>
      </w:r>
    </w:p>
    <w:bookmarkEnd w:id="14"/>
    <w:bookmarkStart w:id="15" w:name="X2b0caf859cae1a2813336eb54bb5d8fb3e6dffd"/>
    <w:p>
      <w:pPr>
        <w:pStyle w:val="Heading2"/>
      </w:pPr>
      <w:r>
        <w:t xml:space="preserve">International: strong Q1, but tougher comparisons later in the year</w:t>
      </w:r>
    </w:p>
    <w:p>
      <w:pPr>
        <w:pStyle w:val="FirstParagraph"/>
      </w:pPr>
      <w:r>
        <w:t xml:space="preserve">International revenue grew</w:t>
      </w:r>
      <w:r>
        <w:t xml:space="preserve"> </w:t>
      </w:r>
      <w:r>
        <w:rPr>
          <w:b/>
          <w:bCs/>
        </w:rPr>
        <w:t xml:space="preserve">26% reported</w:t>
      </w:r>
      <w:r>
        <w:t xml:space="preserve"> </w:t>
      </w:r>
      <w:r>
        <w:t xml:space="preserve">in Q1, supported by expanded access in markets such as France and Canada. Dexcom expects to launch G7 15-Day internationally beginning in the second half of 2026, alongside broader Stelo availability and the Flex product rollout in select markets.</w:t>
      </w:r>
    </w:p>
    <w:p>
      <w:pPr>
        <w:pStyle w:val="BodyText"/>
      </w:pPr>
      <w:r>
        <w:t xml:space="preserve">Q2 is therefore likely more about validating the underlying international demand trajectory than about major contributions from these new launches. Investors should watch for:</w:t>
      </w:r>
    </w:p>
    <w:p>
      <w:pPr>
        <w:pStyle w:val="Compact"/>
        <w:numPr>
          <w:ilvl w:val="0"/>
          <w:numId w:val="1005"/>
        </w:numPr>
      </w:pPr>
      <w:r>
        <w:t xml:space="preserve">Sustained growth in existing reimbursed markets;</w:t>
      </w:r>
    </w:p>
    <w:p>
      <w:pPr>
        <w:pStyle w:val="Compact"/>
        <w:numPr>
          <w:ilvl w:val="0"/>
          <w:numId w:val="1005"/>
        </w:numPr>
      </w:pPr>
      <w:r>
        <w:t xml:space="preserve">Additional reimbursement or tender wins;</w:t>
      </w:r>
    </w:p>
    <w:p>
      <w:pPr>
        <w:pStyle w:val="Compact"/>
        <w:numPr>
          <w:ilvl w:val="0"/>
          <w:numId w:val="1005"/>
        </w:numPr>
      </w:pPr>
      <w:r>
        <w:t xml:space="preserve">Progress transitioning from distributor to direct-commercial models;</w:t>
      </w:r>
    </w:p>
    <w:p>
      <w:pPr>
        <w:pStyle w:val="Compact"/>
        <w:numPr>
          <w:ilvl w:val="0"/>
          <w:numId w:val="1005"/>
        </w:numPr>
      </w:pPr>
      <w:r>
        <w:t xml:space="preserve">Any caution around second-half international comparisons.</w:t>
      </w:r>
    </w:p>
    <w:p>
      <w:pPr>
        <w:pStyle w:val="FirstParagraph"/>
      </w:pPr>
      <w:r>
        <w:t xml:space="preserve">International growth remains a core part of the long-range case, but it also introduces mix and reimbursement-timing variability.</w:t>
      </w:r>
    </w:p>
    <w:bookmarkEnd w:id="15"/>
    <w:bookmarkStart w:id="19" w:name="guidance-scenarios"/>
    <w:p>
      <w:pPr>
        <w:pStyle w:val="Heading2"/>
      </w:pPr>
      <w:r>
        <w:t xml:space="preserve">Guidance scenarios</w:t>
      </w:r>
    </w:p>
    <w:bookmarkStart w:id="16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6"/>
        </w:numPr>
      </w:pPr>
      <w:r>
        <w:t xml:space="preserve">Revenue growth remains in the mid-teens or otherwise clearly supports an increase in the full-year revenue range.</w:t>
      </w:r>
    </w:p>
    <w:p>
      <w:pPr>
        <w:pStyle w:val="Compact"/>
        <w:numPr>
          <w:ilvl w:val="0"/>
          <w:numId w:val="1006"/>
        </w:numPr>
      </w:pPr>
      <w:r>
        <w:t xml:space="preserve">G7 15-Day conversion and new-patient trends are ahead of expectations.</w:t>
      </w:r>
    </w:p>
    <w:p>
      <w:pPr>
        <w:pStyle w:val="Compact"/>
        <w:numPr>
          <w:ilvl w:val="0"/>
          <w:numId w:val="1006"/>
        </w:numPr>
      </w:pPr>
      <w:r>
        <w:t xml:space="preserve">Gross margin remains resilient despite commodity concerns.</w:t>
      </w:r>
    </w:p>
    <w:p>
      <w:pPr>
        <w:pStyle w:val="Compact"/>
        <w:numPr>
          <w:ilvl w:val="0"/>
          <w:numId w:val="1006"/>
        </w:numPr>
      </w:pPr>
      <w:r>
        <w:t xml:space="preserve">Management raises revenue and/or profitability guidance.</w:t>
      </w:r>
    </w:p>
    <w:p>
      <w:pPr>
        <w:pStyle w:val="Compact"/>
        <w:numPr>
          <w:ilvl w:val="0"/>
          <w:numId w:val="1006"/>
        </w:numPr>
      </w:pPr>
      <w:r>
        <w:t xml:space="preserve">Prime coverage and type 2 share gains show early traction.</w:t>
      </w:r>
    </w:p>
    <w:bookmarkEnd w:id="16"/>
    <w:bookmarkStart w:id="17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7"/>
        </w:numPr>
      </w:pPr>
      <w:r>
        <w:t xml:space="preserve">Revenue and earnings meet expectations.</w:t>
      </w:r>
    </w:p>
    <w:p>
      <w:pPr>
        <w:pStyle w:val="Compact"/>
        <w:numPr>
          <w:ilvl w:val="0"/>
          <w:numId w:val="1007"/>
        </w:numPr>
      </w:pPr>
      <w:r>
        <w:t xml:space="preserve">Full-year revenue guidance is reiterated, with improved confidence in the upper half of the range.</w:t>
      </w:r>
    </w:p>
    <w:p>
      <w:pPr>
        <w:pStyle w:val="Compact"/>
        <w:numPr>
          <w:ilvl w:val="0"/>
          <w:numId w:val="1007"/>
        </w:numPr>
      </w:pPr>
      <w:r>
        <w:t xml:space="preserve">Margins remain consistent with the 63–64% gross-margin and 23–23.5% operating-margin frameworks.</w:t>
      </w:r>
    </w:p>
    <w:p>
      <w:pPr>
        <w:pStyle w:val="Compact"/>
        <w:numPr>
          <w:ilvl w:val="0"/>
          <w:numId w:val="1007"/>
        </w:numPr>
      </w:pPr>
      <w:r>
        <w:t xml:space="preserve">G7 15-Day adoption is progressing as planned, but without a major quantitative surprise.</w:t>
      </w:r>
    </w:p>
    <w:bookmarkEnd w:id="17"/>
    <w:bookmarkStart w:id="18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8"/>
        </w:numPr>
      </w:pPr>
      <w:r>
        <w:t xml:space="preserve">U.S. growth decelerates meaningfully, raising concerns about new-patient growth or competitive share.</w:t>
      </w:r>
    </w:p>
    <w:p>
      <w:pPr>
        <w:pStyle w:val="Compact"/>
        <w:numPr>
          <w:ilvl w:val="0"/>
          <w:numId w:val="1008"/>
        </w:numPr>
      </w:pPr>
      <w:r>
        <w:t xml:space="preserve">International growth normalizes more abruptly after a strong Q1.</w:t>
      </w:r>
    </w:p>
    <w:p>
      <w:pPr>
        <w:pStyle w:val="Compact"/>
        <w:numPr>
          <w:ilvl w:val="0"/>
          <w:numId w:val="1008"/>
        </w:numPr>
      </w:pPr>
      <w:r>
        <w:t xml:space="preserve">Gross margin falls materially due to input costs, product/channel mix, or ramp costs.</w:t>
      </w:r>
    </w:p>
    <w:p>
      <w:pPr>
        <w:pStyle w:val="Compact"/>
        <w:numPr>
          <w:ilvl w:val="0"/>
          <w:numId w:val="1008"/>
        </w:numPr>
      </w:pPr>
      <w:r>
        <w:t xml:space="preserve">Management keeps guidance unchanged but signals reduced confidence in the high end.</w:t>
      </w:r>
    </w:p>
    <w:p>
      <w:pPr>
        <w:pStyle w:val="Compact"/>
        <w:numPr>
          <w:ilvl w:val="0"/>
          <w:numId w:val="1008"/>
        </w:numPr>
      </w:pPr>
      <w:r>
        <w:t xml:space="preserve">G7 15-Day conversion is slower than expected, limiting both commercial and manufacturing benefits.</w:t>
      </w:r>
    </w:p>
    <w:bookmarkEnd w:id="18"/>
    <w:bookmarkEnd w:id="19"/>
    <w:bookmarkStart w:id="20" w:name="key-questions-for-management"/>
    <w:p>
      <w:pPr>
        <w:pStyle w:val="Heading2"/>
      </w:pPr>
      <w:r>
        <w:t xml:space="preserve">Key questions for management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is G7 15-Day conversion tracking relative to the goal of converting nearly half of the U.S. base by year-end?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Did the product drive incremental new starts and share gains, particularly in type 2 diabetes?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is the current U.S. versus international growth cadence, and does management still expect a relatively balanced contribution for 2026?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Has Prime Therapeutics coverage begun to influence prescription activity or sales-force targeting?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Are fuel, resin, freight, or shipping conditions still a 50–100 basis-point gross-margin risk?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much R&amp;D and Ireland manufacturing ramp expense should investors expect in the second half?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Has Dexcom’s view of the timing or structure of Medicare coverage for type 2 non-insulin users changed?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evidence is emerging that redesigned software and Stelo-derived insights can improve retention and utilization?</w: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DXCM’s Q2 report is primarily an</w:t>
      </w:r>
      <w:r>
        <w:t xml:space="preserve"> </w:t>
      </w:r>
      <w:r>
        <w:rPr>
          <w:b/>
          <w:bCs/>
        </w:rPr>
        <w:t xml:space="preserve">execution test</w:t>
      </w:r>
      <w:r>
        <w:t xml:space="preserve">. Q1 and the May Investor Day established a compelling framework: durable double-digit growth, broader type 2 access, increasing international penetration, a product-driven margin opportunity, and substantial long-term upside from Medicare coverage expansion.</w:t>
      </w:r>
    </w:p>
    <w:p>
      <w:pPr>
        <w:pStyle w:val="BodyText"/>
      </w:pPr>
      <w:r>
        <w:t xml:space="preserve">For this quarter, investors should prioritize three indicators:</w:t>
      </w:r>
      <w:r>
        <w:t xml:space="preserve"> </w:t>
      </w:r>
      <w:r>
        <w:rPr>
          <w:b/>
          <w:bCs/>
        </w:rPr>
        <w:t xml:space="preserve">U.S. growth quality, G7 15-Day adoption, and margin durability</w:t>
      </w:r>
      <w:r>
        <w:t xml:space="preserve">. A clean result with stable-to-improving guidance would support the view that Dexcom is progressing from a recovery story to a more durable growth-and-cash-flow compounder. Conversely, any evidence that U.S. demand, conversion pacing, or gross-margin strength is weaker than anticipated could be amplified by a stock that has already recovered sharply into the report.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2026-07-29T19:17:45Z</dcterms:created>
  <dcterms:modified xsi:type="dcterms:W3CDTF">2026-07-29T19:17:45Z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