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xcm-earnings-predictions--2026-07-30"/>
    <w:p>
      <w:pPr>
        <w:pStyle w:val="Heading1"/>
      </w:pPr>
      <w:r>
        <w:t xml:space="preserve">DXCM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DXCM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New Patient Starts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~315K vs. cons 304K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DXCM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~$1,305M vs. cons $1,290.5M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DXCM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~$0.63 vs. cons $0.609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DXCM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~$5.26B midpoint vs. cons $5,223.9M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DXCM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Gross Margin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63-64% reiterated vs. cons ~63.6%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DXCM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Operating Margin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23-23.5% reiterated vs. cons ~23.3%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DXCM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New Patient Start Trajectory (qualitative, H2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confirm record pace, Prime Therapeutics tailwind, CMS update positive vs. flat consensus assumption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DXCM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DXCM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+3.0% (STABILIZE)</w:t>
            </w:r>
          </w:p>
        </w:tc>
        <w:tc>
          <w:tcPr/>
          <w:p>
            <w:pPr>
              <w:pStyle w:val="Compact"/>
            </w:pPr>
            <w:r>
              <w:t xml:space="preserve">STABILIZE — modest follow-through from short covering and small estimate revisions; high-run setup limits sustained momentum; gross margin trajectory is the key watch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2026-08-02T02:01:33Z</dcterms:created>
  <dcterms:modified xsi:type="dcterms:W3CDTF">2026-08-02T02:01:33Z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