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EA before writing the preview. Let me start by gathering recent filings, transcripts, and news.Let me research the pending acquisition and read the most recent earnings materials.Let me research the pending take-private deal and Battlefield 6 launch, which are the critical developments.Let me read the SEC 8-K earnings releases and check Battlefield 6 / recent developments.Let me get the current stock price (relative to the $210 deal price) and the latest deal-status news.I now have what I need. Here's my earnings preview.</w:t>
      </w:r>
    </w:p>
    <w:p>
      <w:r>
        <w:pict>
          <v:rect style="width:0;height:1.5pt" o:hralign="center" o:hrstd="t" o:hr="t"/>
        </w:pict>
      </w:r>
    </w:p>
    <w:bookmarkStart w:id="16" w:name="ea-electronic-arts--earnings-preview"/>
    <w:p>
      <w:pPr>
        <w:pStyle w:val="Heading1"/>
      </w:pPr>
      <w:r>
        <w:t xml:space="preserve">EA (Electronic Arts) — Earnings Preview</w:t>
      </w:r>
    </w:p>
    <w:bookmarkStart w:id="9" w:name="X6dbd10051fcb8e6289a1d08273b0ae2a596c202"/>
    <w:p>
      <w:pPr>
        <w:pStyle w:val="Heading3"/>
      </w:pPr>
      <w:r>
        <w:t xml:space="preserve">Fiscal Q1 2027 (quarter ended June 30, 2026) • Report expected July 29, 2026</w:t>
      </w:r>
    </w:p>
    <w:bookmarkEnd w:id="9"/>
    <w:bookmarkStart w:id="10" w:name="X20b7f190939b62979c3ddc6baecd11cab05da24"/>
    <w:p>
      <w:pPr>
        <w:pStyle w:val="Heading2"/>
      </w:pPr>
      <w:r>
        <w:t xml:space="preserve">The one thing that actually matters: this is a deal story, not an earnings story</w:t>
      </w:r>
    </w:p>
    <w:p>
      <w:pPr>
        <w:pStyle w:val="FirstParagraph"/>
      </w:pPr>
      <w:r>
        <w:t xml:space="preserve">Under normal circumstances an EA preview would center on FC, Battlefield live services, and forward bookings guidance. This report is different. EA is roughly ten months into a definitive agreement to be taken private, and the print tomorrow is best understood as a merger-arbitrage checkpoint, not a fundamental catalyst.</w:t>
      </w:r>
    </w:p>
    <w:p>
      <w:pPr>
        <w:pStyle w:val="Compact"/>
        <w:numPr>
          <w:ilvl w:val="0"/>
          <w:numId w:val="1001"/>
        </w:numPr>
      </w:pPr>
      <w:r>
        <w:rPr>
          <w:b/>
          <w:bCs/>
        </w:rPr>
        <w:t xml:space="preserve">The transaction:</w:t>
      </w:r>
      <w:r>
        <w:t xml:space="preserve"> </w:t>
      </w:r>
      <w:r>
        <w:t xml:space="preserve">On September 29, 2025, EA agreed to be acquired by a consortium of Saudi Arabia's Public Investment Fund (PIF), Silver Lake, and Affinity Partners for</w:t>
      </w:r>
      <w:r>
        <w:t xml:space="preserve"> </w:t>
      </w:r>
      <m:oMath>
        <m:r>
          <m:t>210.00</m:t>
        </m:r>
        <m:r>
          <m:rPr>
            <m:sty m:val="p"/>
          </m:rPr>
          <m:t>/</m:t>
        </m:r>
        <m:r>
          <m:t>s</m:t>
        </m:r>
        <m:r>
          <m:t>h</m:t>
        </m:r>
        <m:r>
          <m:t>a</m:t>
        </m:r>
        <m:r>
          <m:t>r</m:t>
        </m:r>
        <m:r>
          <m:t>e</m:t>
        </m:r>
        <m:r>
          <m:t>i</m:t>
        </m:r>
        <m:r>
          <m:t>n</m:t>
        </m:r>
        <m:r>
          <m:t>c</m:t>
        </m:r>
        <m:r>
          <m:t>a</m:t>
        </m:r>
        <m:r>
          <m:t>s</m:t>
        </m:r>
        <m:r>
          <m:t>h</m:t>
        </m:r>
        <m:r>
          <m:rPr>
            <m:sty m:val="p"/>
          </m:rPr>
          <m:t>*</m:t>
        </m:r>
        <m:r>
          <m:rPr>
            <m:sty m:val="p"/>
          </m:rPr>
          <m:t>*</m:t>
        </m:r>
        <m:r>
          <m:rPr>
            <m:sty m:val="p"/>
          </m:rPr>
          <m:t>,</m:t>
        </m:r>
        <m:r>
          <m:t>a</m:t>
        </m:r>
        <m:r>
          <m:t>n</m:t>
        </m:r>
        <m:r>
          <m:t>e</m:t>
        </m:r>
        <m:r>
          <m:t>n</m:t>
        </m:r>
        <m:r>
          <m:t>t</m:t>
        </m:r>
        <m:r>
          <m:t>e</m:t>
        </m:r>
        <m:r>
          <m:t>r</m:t>
        </m:r>
        <m:r>
          <m:t>p</m:t>
        </m:r>
        <m:r>
          <m:t>r</m:t>
        </m:r>
        <m:r>
          <m:t>i</m:t>
        </m:r>
        <m:r>
          <m:t>s</m:t>
        </m:r>
        <m:r>
          <m:t>e</m:t>
        </m:r>
        <m:r>
          <m:t>v</m:t>
        </m:r>
        <m:r>
          <m:t>a</m:t>
        </m:r>
        <m:r>
          <m:t>l</m:t>
        </m:r>
        <m:r>
          <m:t>u</m:t>
        </m:r>
        <m:r>
          <m:t>e</m:t>
        </m:r>
        <m:r>
          <m:t>o</m:t>
        </m:r>
        <m:r>
          <m:t>f</m:t>
        </m:r>
        <m:r>
          <m:t> </m:t>
        </m:r>
        <m:r>
          <m:rPr>
            <m:sty m:val="p"/>
          </m:rPr>
          <m:t>*</m:t>
        </m:r>
        <m:r>
          <m:rPr>
            <m:sty m:val="p"/>
          </m:rPr>
          <m:t>*</m:t>
        </m:r>
      </m:oMath>
      <w:r>
        <w:rPr>
          <w:b/>
          <w:bCs/>
        </w:rPr>
        <w:t xml:space="preserve">55 billion</w:t>
      </w:r>
      <w:r>
        <w:t xml:space="preserve"> </w:t>
      </w:r>
      <w:r>
        <w:t xml:space="preserve">— a 25% premium to the unaffected price of $168.32 (9/25/25) and the largest all-cash sponsor take-private (largest LBO) on record.</w:t>
      </w:r>
    </w:p>
    <w:p>
      <w:pPr>
        <w:pStyle w:val="Compact"/>
        <w:numPr>
          <w:ilvl w:val="0"/>
          <w:numId w:val="1001"/>
        </w:numPr>
      </w:pPr>
      <w:r>
        <w:rPr>
          <w:b/>
          <w:bCs/>
        </w:rPr>
        <w:t xml:space="preserve">Structure:</w:t>
      </w:r>
      <w:r>
        <w:t xml:space="preserve"> </w:t>
      </w:r>
      <w:r>
        <w:t xml:space="preserve">~</w:t>
      </w:r>
      <m:oMath>
        <m:r>
          <m:t>36</m:t>
        </m:r>
        <m:r>
          <m:t>B</m:t>
        </m:r>
        <m:r>
          <m:t>e</m:t>
        </m:r>
        <m:r>
          <m:t>q</m:t>
        </m:r>
        <m:r>
          <m:t>u</m:t>
        </m:r>
        <m:r>
          <m:t>i</m:t>
        </m:r>
        <m:r>
          <m:t>t</m:t>
        </m:r>
        <m:r>
          <m:t>y</m:t>
        </m:r>
        <m:r>
          <m:rPr>
            <m:sty m:val="p"/>
          </m:rPr>
          <m:t>(</m:t>
        </m:r>
        <m:r>
          <m:t>P</m:t>
        </m:r>
        <m:r>
          <m:t>I</m:t>
        </m:r>
        <m:r>
          <m:t>F</m:t>
        </m:r>
        <m:r>
          <m:t>r</m:t>
        </m:r>
        <m:r>
          <m:t>o</m:t>
        </m:r>
        <m:r>
          <m:t>l</m:t>
        </m:r>
        <m:r>
          <m:t>l</m:t>
        </m:r>
        <m:r>
          <m:t>i</m:t>
        </m:r>
        <m:r>
          <m:t>n</m:t>
        </m:r>
        <m:r>
          <m:t>g</m:t>
        </m:r>
        <m:r>
          <m:t>i</m:t>
        </m:r>
        <m:r>
          <m:t>t</m:t>
        </m:r>
        <m:r>
          <m:t>s</m:t>
        </m:r>
        <m:r>
          <m:t> </m:t>
        </m:r>
        <m:r>
          <m:t>9.9</m:t>
        </m:r>
      </m:oMath>
      <w:r>
        <w:t xml:space="preserve">18–20B of debt loaded onto EA's balance sheet. Pro-forma gross leverage jumps from ~0.8x today to an estimated **~7.4x**, with free-cash-flow/interest coverage compressing toward ~2x. EA's debt syndication has reportedly already been completed with strong demand.</w:t>
      </w:r>
    </w:p>
    <w:p>
      <w:pPr>
        <w:pStyle w:val="Compact"/>
        <w:numPr>
          <w:ilvl w:val="0"/>
          <w:numId w:val="1001"/>
        </w:numPr>
      </w:pPr>
      <w:r>
        <w:rPr>
          <w:b/>
          <w:bCs/>
        </w:rPr>
        <w:t xml:space="preserve">Where approvals stand (as of late July 2026):</w:t>
      </w:r>
      <w:r>
        <w:t xml:space="preserve"> </w:t>
      </w:r>
      <w:r>
        <w:t xml:space="preserve">Shareholders approved the deal on December 22, 2025 (~99% of votes). U.S. HSR antitrust clearance was obtained in June 2026, and the European Commission cleared it on July 23, 2026.</w:t>
      </w:r>
      <w:r>
        <w:t xml:space="preserve"> </w:t>
      </w:r>
      <w:r>
        <w:rPr>
          <w:b/>
          <w:bCs/>
        </w:rPr>
        <w:t xml:space="preserve">The lone remaining gate is CFIUS</w:t>
      </w:r>
      <w:r>
        <w:t xml:space="preserve">, the U.S. national-security review, which is scrutinizing EA's player data and AI assets under prospective Saudi state ownership.</w:t>
      </w:r>
    </w:p>
    <w:p>
      <w:pPr>
        <w:pStyle w:val="Compact"/>
        <w:numPr>
          <w:ilvl w:val="0"/>
          <w:numId w:val="1001"/>
        </w:numPr>
      </w:pPr>
      <w:r>
        <w:rPr>
          <w:b/>
          <w:bCs/>
        </w:rPr>
        <w:t xml:space="preserve">Timeline slipped:</w:t>
      </w:r>
      <w:r>
        <w:t xml:space="preserve"> </w:t>
      </w:r>
      <w:r>
        <w:t xml:space="preserve">The deal blew through its original June 30, 2026 outside date and was</w:t>
      </w:r>
      <w:r>
        <w:t xml:space="preserve"> </w:t>
      </w:r>
      <w:r>
        <w:rPr>
          <w:b/>
          <w:bCs/>
        </w:rPr>
        <w:t xml:space="preserve">extended to September 28, 2026</w:t>
      </w:r>
      <w:r>
        <w:t xml:space="preserve">. It was originally guided to close in "the first quarter of fiscal 2027" — i.e., this quarter — so a key subtext of tomorrow is simply whether management signals progress toward a CFIUS resolution.</w:t>
      </w:r>
    </w:p>
    <w:bookmarkEnd w:id="10"/>
    <w:bookmarkStart w:id="11" w:name="Xce16078094a9fff18c0c4a74791d29e68e7814f"/>
    <w:p>
      <w:pPr>
        <w:pStyle w:val="Heading2"/>
      </w:pPr>
      <w:r>
        <w:t xml:space="preserve">Format of the release — set expectations low for "news"</w:t>
      </w:r>
    </w:p>
    <w:p>
      <w:pPr>
        <w:pStyle w:val="FirstParagraph"/>
      </w:pPr>
      <w:r>
        <w:t xml:space="preserve">Investors should not expect the usual event. As with the prior two quarters, EA has stated it</w:t>
      </w:r>
      <w:r>
        <w:t xml:space="preserve"> </w:t>
      </w:r>
      <w:r>
        <w:rPr>
          <w:b/>
          <w:bCs/>
        </w:rPr>
        <w:t xml:space="preserve">will not host an earnings conference call</w:t>
      </w:r>
      <w:r>
        <w:t xml:space="preserve"> </w:t>
      </w:r>
      <w:r>
        <w:t xml:space="preserve">given the pending transaction, and it has suspended forward guidance. Precedent (FY26 Q2–Q4) suggests the disclosure will be a bare-bones press release plus the 10-Q — headline net bookings, revenue, EPS, cash flow, and a boilerplate paragraph on the merger and CFIUS. No management commentary, no franchise deep-dive, no outlook. A 10-K/A was already filed on July 28.</w:t>
      </w:r>
    </w:p>
    <w:p>
      <w:pPr>
        <w:pStyle w:val="BodyText"/>
      </w:pPr>
      <w:r>
        <w:t xml:space="preserve">The practical implication: there is little room for a fundamental surprise to move the stock, because the stock no longer trades on fundamentals.</w:t>
      </w:r>
    </w:p>
    <w:bookmarkEnd w:id="11"/>
    <w:bookmarkStart w:id="12" w:name="X513e53d661493d215e118aa48c26382d3e7ebc4"/>
    <w:p>
      <w:pPr>
        <w:pStyle w:val="Heading2"/>
      </w:pPr>
      <w:r>
        <w:t xml:space="preserve">The merger-arb setup: almost no spread left</w:t>
      </w:r>
    </w:p>
    <w:p>
      <w:pPr>
        <w:pStyle w:val="FirstParagraph"/>
      </w:pPr>
      <w:r>
        <w:t xml:space="preserve">EA closed</w:t>
      </w:r>
      <w:r>
        <w:t xml:space="preserve"> </w:t>
      </w:r>
      <w:r>
        <w:rPr>
          <w:b/>
          <w:bCs/>
        </w:rPr>
        <w:t xml:space="preserve">$208.91 on July 28</w:t>
      </w:r>
      <w:r>
        <w:t xml:space="preserve">, versus the</w:t>
      </w:r>
      <w:r>
        <w:t xml:space="preserve"> </w:t>
      </w:r>
      <m:oMath>
        <m:r>
          <m:t>210</m:t>
        </m:r>
        <m:r>
          <m:t>c</m:t>
        </m:r>
        <m:r>
          <m:t>a</m:t>
        </m:r>
        <m:r>
          <m:t>s</m:t>
        </m:r>
        <m:r>
          <m:t>h</m:t>
        </m:r>
        <m:r>
          <m:t>c</m:t>
        </m:r>
        <m:r>
          <m:t>o</m:t>
        </m:r>
        <m:r>
          <m:t>n</m:t>
        </m:r>
        <m:r>
          <m:t>s</m:t>
        </m:r>
        <m:r>
          <m:t>i</m:t>
        </m:r>
        <m:r>
          <m:t>d</m:t>
        </m:r>
        <m:r>
          <m:t>e</m:t>
        </m:r>
        <m:r>
          <m:t>r</m:t>
        </m:r>
        <m:r>
          <m:t>a</m:t>
        </m:r>
        <m:r>
          <m:t>t</m:t>
        </m:r>
        <m:r>
          <m:t>i</m:t>
        </m:r>
        <m:r>
          <m:t>o</m:t>
        </m:r>
        <m:r>
          <m:t>n</m:t>
        </m:r>
        <m:r>
          <m:rPr>
            <m:sty m:val="p"/>
          </m:rPr>
          <m:t>—</m:t>
        </m:r>
        <m:r>
          <m:t>a</m:t>
        </m:r>
        <m:r>
          <m:t>s</m:t>
        </m:r>
        <m:r>
          <m:t>p</m:t>
        </m:r>
        <m:r>
          <m:t>r</m:t>
        </m:r>
        <m:r>
          <m:t>e</m:t>
        </m:r>
        <m:r>
          <m:t>a</m:t>
        </m:r>
        <m:r>
          <m:t>d</m:t>
        </m:r>
        <m:r>
          <m:t>o</m:t>
        </m:r>
        <m:r>
          <m:t>f</m:t>
        </m:r>
        <m:r>
          <m:t>o</m:t>
        </m:r>
        <m:r>
          <m:t>n</m:t>
        </m:r>
        <m:r>
          <m:t>l</m:t>
        </m:r>
        <m:r>
          <m:t>y</m:t>
        </m:r>
        <m:r>
          <m:t> </m:t>
        </m:r>
      </m:oMath>
      <w:r>
        <w:t xml:space="preserve">1.10, or</w:t>
      </w:r>
      <w:r>
        <w:t xml:space="preserve"> </w:t>
      </w:r>
      <w:r>
        <w:rPr>
          <w:b/>
          <w:bCs/>
        </w:rPr>
        <w:t xml:space="preserve">~0.5%</w:t>
      </w:r>
      <w:r>
        <w:t xml:space="preserve">. The stock has drifted steadily up from ~$205 at the start of July as the EU clearance landed and CFIUS is seen as the last, likely-clearable step.</w:t>
      </w:r>
    </w:p>
    <w:p>
      <w:pPr>
        <w:pStyle w:val="BodyText"/>
      </w:pPr>
      <w:r>
        <w:t xml:space="preserve">What that tells you:</w:t>
      </w:r>
    </w:p>
    <w:p>
      <w:pPr>
        <w:pStyle w:val="Compact"/>
        <w:numPr>
          <w:ilvl w:val="0"/>
          <w:numId w:val="1002"/>
        </w:numPr>
      </w:pPr>
      <w:r>
        <w:t xml:space="preserve">The market is pricing a</w:t>
      </w:r>
      <w:r>
        <w:t xml:space="preserve"> </w:t>
      </w:r>
      <w:r>
        <w:rPr>
          <w:b/>
          <w:bCs/>
        </w:rPr>
        <w:t xml:space="preserve">high probability of a successful close</w:t>
      </w:r>
      <w:r>
        <w:t xml:space="preserve">, and the remaining spread is essentially a bet on timing (a few months to the Sept 28 outside date) plus the residual CFIUS tail risk.</w:t>
      </w:r>
    </w:p>
    <w:p>
      <w:pPr>
        <w:pStyle w:val="Compact"/>
        <w:numPr>
          <w:ilvl w:val="0"/>
          <w:numId w:val="1002"/>
        </w:numPr>
      </w:pPr>
      <w:r>
        <w:t xml:space="preserve">**Risk/reward is asymmetric and unattractive on the long side at</w:t>
      </w:r>
      <w:r>
        <w:t xml:space="preserve"> </w:t>
      </w:r>
      <m:oMath>
        <m:r>
          <m:t>209</m:t>
        </m:r>
        <m:r>
          <m:rPr>
            <m:sty m:val="p"/>
          </m:rPr>
          <m:t>:</m:t>
        </m:r>
        <m:r>
          <m:rPr>
            <m:sty m:val="p"/>
          </m:rPr>
          <m:t>*</m:t>
        </m:r>
        <m:r>
          <m:rPr>
            <m:sty m:val="p"/>
          </m:rPr>
          <m:t>*</m:t>
        </m:r>
        <m:r>
          <m:t> </m:t>
        </m:r>
      </m:oMath>
      <w:r>
        <w:t xml:space="preserve">1 of upside to the $210 deal price (plus the ongoing</w:t>
      </w:r>
      <w:r>
        <w:t xml:space="preserve"> </w:t>
      </w:r>
      <m:oMath>
        <m:r>
          <m:t>0.19</m:t>
        </m:r>
        <m:r>
          <m:t>q</m:t>
        </m:r>
        <m:r>
          <m:t>u</m:t>
        </m:r>
        <m:r>
          <m:t>a</m:t>
        </m:r>
        <m:r>
          <m:t>r</m:t>
        </m:r>
        <m:r>
          <m:t>t</m:t>
        </m:r>
        <m:r>
          <m:t>e</m:t>
        </m:r>
        <m:r>
          <m:t>r</m:t>
        </m:r>
        <m:r>
          <m:t>l</m:t>
        </m:r>
        <m:r>
          <m:t>y</m:t>
        </m:r>
        <m:r>
          <m:t>d</m:t>
        </m:r>
        <m:r>
          <m:t>i</m:t>
        </m:r>
        <m:r>
          <m:t>v</m:t>
        </m:r>
        <m:r>
          <m:t>i</m:t>
        </m:r>
        <m:r>
          <m:t>d</m:t>
        </m:r>
        <m:r>
          <m:t>e</m:t>
        </m:r>
        <m:r>
          <m:t>n</m:t>
        </m:r>
        <m:r>
          <m:t>d</m:t>
        </m:r>
        <m:r>
          <m:rPr>
            <m:sty m:val="p"/>
          </m:rPr>
          <m:t>,</m:t>
        </m:r>
        <m:r>
          <m:t>s</m:t>
        </m:r>
        <m:r>
          <m:t>t</m:t>
        </m:r>
        <m:r>
          <m:t>i</m:t>
        </m:r>
        <m:r>
          <m:t>l</m:t>
        </m:r>
        <m:r>
          <m:t>l</m:t>
        </m:r>
        <m:r>
          <m:t>b</m:t>
        </m:r>
        <m:r>
          <m:t>e</m:t>
        </m:r>
        <m:r>
          <m:t>i</m:t>
        </m:r>
        <m:r>
          <m:t>n</m:t>
        </m:r>
        <m:r>
          <m:t>g</m:t>
        </m:r>
        <m:r>
          <m:t>p</m:t>
        </m:r>
        <m:r>
          <m:t>a</m:t>
        </m:r>
        <m:r>
          <m:t>i</m:t>
        </m:r>
        <m:r>
          <m:t>d</m:t>
        </m:r>
        <m:r>
          <m:t>d</m:t>
        </m:r>
        <m:r>
          <m:t>u</m:t>
        </m:r>
        <m:r>
          <m:t>r</m:t>
        </m:r>
        <m:r>
          <m:t>i</m:t>
        </m:r>
        <m:r>
          <m:t>n</m:t>
        </m:r>
        <m:r>
          <m:t>g</m:t>
        </m:r>
        <m:r>
          <m:t>p</m:t>
        </m:r>
        <m:r>
          <m:t>e</m:t>
        </m:r>
        <m:r>
          <m:t>n</m:t>
        </m:r>
        <m:r>
          <m:t>d</m:t>
        </m:r>
        <m:r>
          <m:t>e</m:t>
        </m:r>
        <m:r>
          <m:t>n</m:t>
        </m:r>
        <m:r>
          <m:t>c</m:t>
        </m:r>
        <m:r>
          <m:t>y</m:t>
        </m:r>
        <m:r>
          <m:rPr>
            <m:sty m:val="p"/>
          </m:rPr>
          <m:t>)</m:t>
        </m:r>
        <m:r>
          <m:rPr>
            <m:sty m:val="p"/>
          </m:rPr>
          <m:t>,</m:t>
        </m:r>
        <m:r>
          <m:t>a</m:t>
        </m:r>
        <m:r>
          <m:t>g</m:t>
        </m:r>
        <m:r>
          <m:t>a</m:t>
        </m:r>
        <m:r>
          <m:t>i</m:t>
        </m:r>
        <m:r>
          <m:t>n</m:t>
        </m:r>
        <m:r>
          <m:t>s</m:t>
        </m:r>
        <m:r>
          <m:t>t</m:t>
        </m:r>
        <m:r>
          <m:t>a</m:t>
        </m:r>
        <m:r>
          <m:t>l</m:t>
        </m:r>
        <m:r>
          <m:t>a</m:t>
        </m:r>
        <m:r>
          <m:t>r</m:t>
        </m:r>
        <m:r>
          <m:t>g</m:t>
        </m:r>
        <m:r>
          <m:t>e</m:t>
        </m:r>
        <m:r>
          <m:t>a</m:t>
        </m:r>
        <m:r>
          <m:t>i</m:t>
        </m:r>
        <m:r>
          <m:t>r</m:t>
        </m:r>
        <m:r>
          <m:rPr>
            <m:sty m:val="p"/>
          </m:rPr>
          <m:t>−</m:t>
        </m:r>
        <m:r>
          <m:t>p</m:t>
        </m:r>
        <m:r>
          <m:t>o</m:t>
        </m:r>
        <m:r>
          <m:t>c</m:t>
        </m:r>
        <m:r>
          <m:t>k</m:t>
        </m:r>
        <m:r>
          <m:t>e</m:t>
        </m:r>
        <m:r>
          <m:t>t</m:t>
        </m:r>
        <m:r>
          <m:t>t</m:t>
        </m:r>
        <m:r>
          <m:t>o</m:t>
        </m:r>
        <m:r>
          <m:t>t</m:t>
        </m:r>
        <m:r>
          <m:t>h</m:t>
        </m:r>
        <m:r>
          <m:t>e</m:t>
        </m:r>
        <m:r>
          <m:t>u</m:t>
        </m:r>
        <m:r>
          <m:t>n</m:t>
        </m:r>
        <m:r>
          <m:t>a</m:t>
        </m:r>
        <m:r>
          <m:t>f</m:t>
        </m:r>
        <m:r>
          <m:t>f</m:t>
        </m:r>
        <m:r>
          <m:t>e</m:t>
        </m:r>
        <m:r>
          <m:t>c</m:t>
        </m:r>
        <m:r>
          <m:t>t</m:t>
        </m:r>
        <m:r>
          <m:t>e</m:t>
        </m:r>
        <m:r>
          <m:t>d</m:t>
        </m:r>
        <m:r>
          <m:t> </m:t>
        </m:r>
      </m:oMath>
      <w:r>
        <w:t xml:space="preserve">168 (and potentially lower) if CFIUS were to block or force a walk-away. This is a classic late-stage arb profile — small carry, fat left tail.</w:t>
      </w:r>
    </w:p>
    <w:p>
      <w:pPr>
        <w:pStyle w:val="Compact"/>
        <w:numPr>
          <w:ilvl w:val="0"/>
          <w:numId w:val="1002"/>
        </w:numPr>
      </w:pPr>
      <w:r>
        <w:t xml:space="preserve">The tomorrow's numbers are largely irrelevant to that payoff.</w:t>
      </w:r>
      <w:r>
        <w:t xml:space="preserve"> </w:t>
      </w:r>
      <w:r>
        <w:rPr>
          <w:b/>
          <w:bCs/>
        </w:rPr>
        <w:t xml:space="preserve">The real catalysts are CFIUS headlines and any 8-K on deal timing</w:t>
      </w:r>
      <w:r>
        <w:t xml:space="preserve">, not bookings.</w:t>
      </w:r>
    </w:p>
    <w:bookmarkEnd w:id="12"/>
    <w:bookmarkStart w:id="13" w:name="X2c53003ac02eeb626297e4dc4b2bbf828198140"/>
    <w:p>
      <w:pPr>
        <w:pStyle w:val="Heading2"/>
      </w:pPr>
      <w:r>
        <w:t xml:space="preserve">The fundamentals underneath (context, not catalyst)</w:t>
      </w:r>
    </w:p>
    <w:p>
      <w:pPr>
        <w:pStyle w:val="FirstParagraph"/>
      </w:pPr>
      <w:r>
        <w:t xml:space="preserve">The business EA is handing to its new owners is in strong shape, which matters for the ~7.4x-levered credit story even if it won't move the equity:</w:t>
      </w:r>
    </w:p>
    <w:p>
      <w:pPr>
        <w:pStyle w:val="Compact"/>
        <w:numPr>
          <w:ilvl w:val="0"/>
          <w:numId w:val="1003"/>
        </w:numPr>
      </w:pPr>
      <w:r>
        <w:rPr>
          <w:b/>
          <w:bCs/>
        </w:rPr>
        <w:t xml:space="preserve">FY2026 (ended March 2026) was a record year:</w:t>
      </w:r>
      <w:r>
        <w:t xml:space="preserve"> </w:t>
      </w:r>
      <w:r>
        <w:t xml:space="preserve">net bookings of</w:t>
      </w:r>
      <w:r>
        <w:t xml:space="preserve"> </w:t>
      </w:r>
      <w:r>
        <w:rPr>
          <w:b/>
          <w:bCs/>
        </w:rPr>
        <w:t xml:space="preserve">$8.026B, +9% y/y</w:t>
      </w:r>
      <w:r>
        <w:t xml:space="preserve">; net revenue</w:t>
      </w:r>
      <w:r>
        <w:t xml:space="preserve"> </w:t>
      </w:r>
      <m:oMath>
        <m:r>
          <m:t>7.531</m:t>
        </m:r>
        <m:r>
          <m:t>B</m:t>
        </m:r>
        <m:r>
          <m:rPr>
            <m:sty m:val="p"/>
          </m:rPr>
          <m:t>(</m:t>
        </m:r>
        <m:r>
          <m:rPr>
            <m:sty m:val="p"/>
          </m:rPr>
          <m:t>+</m:t>
        </m:r>
        <m:r>
          <m:t>1</m:t>
        </m:r>
      </m:oMath>
      <w:r>
        <w:t xml:space="preserve">2.553B, +23%**. Diluted EPS was $3.51 (down from $4.25, reflecting higher opex/marketing and lower buyback-driven share count benefit).</w:t>
      </w:r>
    </w:p>
    <w:p>
      <w:pPr>
        <w:pStyle w:val="Compact"/>
        <w:numPr>
          <w:ilvl w:val="0"/>
          <w:numId w:val="1003"/>
        </w:numPr>
      </w:pPr>
      <w:r>
        <w:rPr>
          <w:b/>
          <w:bCs/>
        </w:rPr>
        <w:t xml:space="preserve">Battlefield 6</w:t>
      </w:r>
      <w:r>
        <w:t xml:space="preserve"> </w:t>
      </w:r>
      <w:r>
        <w:t xml:space="preserve">was the best-performing Battlefield in a fiscal year and set numerous franchise records — the swing factor that drove the FY26 beat and the key new live-service leg going into FY27.</w:t>
      </w:r>
    </w:p>
    <w:p>
      <w:pPr>
        <w:pStyle w:val="Compact"/>
        <w:numPr>
          <w:ilvl w:val="0"/>
          <w:numId w:val="1003"/>
        </w:numPr>
      </w:pPr>
      <w:r>
        <w:rPr>
          <w:b/>
          <w:bCs/>
        </w:rPr>
        <w:t xml:space="preserve">Global Football</w:t>
      </w:r>
      <w:r>
        <w:t xml:space="preserve"> </w:t>
      </w:r>
      <w:r>
        <w:t xml:space="preserve">(EA SPORTS FC / FC Online / FC Mobile) grew mid-single digits;</w:t>
      </w:r>
      <w:r>
        <w:t xml:space="preserve"> </w:t>
      </w:r>
      <w:r>
        <w:rPr>
          <w:b/>
          <w:bCs/>
        </w:rPr>
        <w:t xml:space="preserve">Apex Legends</w:t>
      </w:r>
      <w:r>
        <w:t xml:space="preserve"> </w:t>
      </w:r>
      <w:r>
        <w:t xml:space="preserve">finished FY26 up double digits after a rocky start, with its strongest bookings quarter in Q4.</w:t>
      </w:r>
    </w:p>
    <w:p>
      <w:pPr>
        <w:pStyle w:val="Compact"/>
        <w:numPr>
          <w:ilvl w:val="0"/>
          <w:numId w:val="1003"/>
        </w:numPr>
      </w:pPr>
      <w:r>
        <w:t xml:space="preserve">Balance sheet pre-deal: ~</w:t>
      </w:r>
      <m:oMath>
        <m:r>
          <m:t>2.86</m:t>
        </m:r>
        <m:r>
          <m:t>B</m:t>
        </m:r>
        <m:r>
          <m:t>c</m:t>
        </m:r>
        <m:r>
          <m:t>a</m:t>
        </m:r>
        <m:r>
          <m:t>s</m:t>
        </m:r>
        <m:r>
          <m:t>h</m:t>
        </m:r>
        <m:r>
          <m:rPr>
            <m:sty m:val="p"/>
          </m:rPr>
          <m:t>,</m:t>
        </m:r>
        <m:r>
          <m:t> </m:t>
        </m:r>
      </m:oMath>
      <w:r>
        <w:t xml:space="preserve">1.9B senior notes, i.e., near-net-cash — about to be transformed by the LBO debt.</w:t>
      </w:r>
    </w:p>
    <w:p>
      <w:pPr>
        <w:pStyle w:val="FirstParagraph"/>
      </w:pPr>
      <w:r>
        <w:rPr>
          <w:b/>
          <w:bCs/>
        </w:rPr>
        <w:t xml:space="preserve">For the June quarter specifically:</w:t>
      </w:r>
      <w:r>
        <w:t xml:space="preserve"> </w:t>
      </w:r>
      <w:r>
        <w:t xml:space="preserve">Q1 is seasonally EA's smallest, with no major frontline launch (FC 27 and Madden 27 land later). The prior-year Q1 FY26 did $1.3B net bookings and $0.79 EPS. Watch the durability of Battlefield 6's post-launch live-service tail, FC/Apex live services, and catalog — but recognize EA has given no guide, so any y/y read is against a base with no company framing.</w:t>
      </w:r>
    </w:p>
    <w:bookmarkEnd w:id="13"/>
    <w:bookmarkStart w:id="14" w:name="what-id-actually-watch-tomorrow"/>
    <w:p>
      <w:pPr>
        <w:pStyle w:val="Heading2"/>
      </w:pPr>
      <w:r>
        <w:t xml:space="preserve">What I'd actually watch tomorrow</w:t>
      </w:r>
    </w:p>
    <w:p>
      <w:pPr>
        <w:pStyle w:val="Compact"/>
        <w:numPr>
          <w:ilvl w:val="0"/>
          <w:numId w:val="1004"/>
        </w:numPr>
      </w:pPr>
      <w:r>
        <w:rPr>
          <w:b/>
          <w:bCs/>
        </w:rPr>
        <w:t xml:space="preserve">Any language change on CFIUS / timing</w:t>
      </w:r>
      <w:r>
        <w:t xml:space="preserve"> </w:t>
      </w:r>
      <w:r>
        <w:t xml:space="preserve">in the merger paragraph — the only thing that can meaningfully move the ~0.5% spread.</w:t>
      </w:r>
    </w:p>
    <w:p>
      <w:pPr>
        <w:pStyle w:val="Compact"/>
        <w:numPr>
          <w:ilvl w:val="0"/>
          <w:numId w:val="1004"/>
        </w:numPr>
      </w:pPr>
      <w:r>
        <w:rPr>
          <w:b/>
          <w:bCs/>
        </w:rPr>
        <w:t xml:space="preserve">Confirmation the $0.19 dividend continues</w:t>
      </w:r>
      <w:r>
        <w:t xml:space="preserve"> </w:t>
      </w:r>
      <w:r>
        <w:t xml:space="preserve">— it's the carry component of the arb.</w:t>
      </w:r>
    </w:p>
    <w:p>
      <w:pPr>
        <w:pStyle w:val="Compact"/>
        <w:numPr>
          <w:ilvl w:val="0"/>
          <w:numId w:val="1004"/>
        </w:numPr>
      </w:pPr>
      <w:r>
        <w:rPr>
          <w:b/>
          <w:bCs/>
        </w:rPr>
        <w:t xml:space="preserve">Live-services trajectory (Battlefield 6, FC, Apex)</w:t>
      </w:r>
      <w:r>
        <w:t xml:space="preserve"> </w:t>
      </w:r>
      <w:r>
        <w:t xml:space="preserve">— matters for the credit/LBO thesis and for the fallback fundamental value if the deal were to break.</w:t>
      </w:r>
    </w:p>
    <w:p>
      <w:pPr>
        <w:pStyle w:val="Compact"/>
        <w:numPr>
          <w:ilvl w:val="0"/>
          <w:numId w:val="1004"/>
        </w:numPr>
      </w:pPr>
      <w:r>
        <w:rPr>
          <w:b/>
          <w:bCs/>
        </w:rPr>
        <w:t xml:space="preserve">Balance-sheet/interim covenants</w:t>
      </w:r>
      <w:r>
        <w:t xml:space="preserve"> </w:t>
      </w:r>
      <w:r>
        <w:t xml:space="preserve">— early tells on how the company operates under deal restrictions.</w:t>
      </w:r>
    </w:p>
    <w:bookmarkEnd w:id="14"/>
    <w:bookmarkStart w:id="15" w:name="bottom-line"/>
    <w:p>
      <w:pPr>
        <w:pStyle w:val="Heading2"/>
      </w:pPr>
      <w:r>
        <w:t xml:space="preserve">Bottom line</w:t>
      </w:r>
    </w:p>
    <w:p>
      <w:pPr>
        <w:pStyle w:val="FirstParagraph"/>
      </w:pPr>
      <w:r>
        <w:t xml:space="preserve">EA "reporting earnings" tomorrow is a formality. There will be no call, no guidance, and near-zero incremental information value in the P&amp;L. The stock is a ~0.5% merger-arb sitting ~$1 below a</w:t>
      </w:r>
      <w:r>
        <w:t xml:space="preserve"> </w:t>
      </w:r>
      <m:oMath>
        <m:r>
          <m:t>210</m:t>
        </m:r>
        <m:r>
          <m:t>c</m:t>
        </m:r>
        <m:r>
          <m:t>a</m:t>
        </m:r>
        <m:r>
          <m:t>s</m:t>
        </m:r>
        <m:r>
          <m:t>h</m:t>
        </m:r>
        <m:r>
          <m:t>b</m:t>
        </m:r>
        <m:r>
          <m:t>i</m:t>
        </m:r>
        <m:r>
          <m:t>d</m:t>
        </m:r>
        <m:r>
          <m:rPr>
            <m:sty m:val="p"/>
          </m:rPr>
          <m:t>,</m:t>
        </m:r>
        <m:r>
          <m:t>w</m:t>
        </m:r>
        <m:r>
          <m:t>i</m:t>
        </m:r>
        <m:r>
          <m:t>t</m:t>
        </m:r>
        <m:r>
          <m:t>h</m:t>
        </m:r>
        <m:r>
          <m:rPr>
            <m:sty m:val="p"/>
          </m:rPr>
          <m:t>*</m:t>
        </m:r>
        <m:r>
          <m:rPr>
            <m:sty m:val="p"/>
          </m:rPr>
          <m:t>*</m:t>
        </m:r>
        <m:r>
          <m:t>C</m:t>
        </m:r>
        <m:r>
          <m:t>F</m:t>
        </m:r>
        <m:r>
          <m:t>I</m:t>
        </m:r>
        <m:r>
          <m:t>U</m:t>
        </m:r>
        <m:r>
          <m:t>S</m:t>
        </m:r>
        <m:r>
          <m:t>t</m:t>
        </m:r>
        <m:r>
          <m:t>h</m:t>
        </m:r>
        <m:r>
          <m:t>e</m:t>
        </m:r>
        <m:r>
          <m:t>s</m:t>
        </m:r>
        <m:r>
          <m:t>o</m:t>
        </m:r>
        <m:r>
          <m:t>l</m:t>
        </m:r>
        <m:r>
          <m:t>e</m:t>
        </m:r>
        <m:r>
          <m:t>r</m:t>
        </m:r>
        <m:r>
          <m:t>e</m:t>
        </m:r>
        <m:r>
          <m:t>m</m:t>
        </m:r>
        <m:r>
          <m:t>a</m:t>
        </m:r>
        <m:r>
          <m:t>i</m:t>
        </m:r>
        <m:r>
          <m:t>n</m:t>
        </m:r>
        <m:r>
          <m:t>i</m:t>
        </m:r>
        <m:r>
          <m:t>n</m:t>
        </m:r>
        <m:r>
          <m:t>g</m:t>
        </m:r>
        <m:r>
          <m:t>a</m:t>
        </m:r>
        <m:r>
          <m:t>p</m:t>
        </m:r>
        <m:r>
          <m:t>p</m:t>
        </m:r>
        <m:r>
          <m:t>r</m:t>
        </m:r>
        <m:r>
          <m:t>o</m:t>
        </m:r>
        <m:r>
          <m:t>v</m:t>
        </m:r>
        <m:r>
          <m:t>a</m:t>
        </m:r>
        <m:r>
          <m:t>l</m:t>
        </m:r>
        <m:r>
          <m:t>a</m:t>
        </m:r>
        <m:r>
          <m:t>n</m:t>
        </m:r>
        <m:r>
          <m:t>d</m:t>
        </m:r>
        <m:r>
          <m:t>a</m:t>
        </m:r>
        <m:r>
          <m:t>S</m:t>
        </m:r>
        <m:r>
          <m:t>e</m:t>
        </m:r>
        <m:r>
          <m:t>p</m:t>
        </m:r>
        <m:r>
          <m:t>t</m:t>
        </m:r>
        <m:r>
          <m:t>e</m:t>
        </m:r>
        <m:r>
          <m:t>m</m:t>
        </m:r>
        <m:r>
          <m:t>b</m:t>
        </m:r>
        <m:r>
          <m:t>e</m:t>
        </m:r>
        <m:r>
          <m:t>r</m:t>
        </m:r>
        <m:r>
          <m:t>28</m:t>
        </m:r>
        <m:r>
          <m:rPr>
            <m:sty m:val="p"/>
          </m:rPr>
          <m:t>,</m:t>
        </m:r>
        <m:r>
          <m:t>2026</m:t>
        </m:r>
        <m:r>
          <m:t>o</m:t>
        </m:r>
        <m:r>
          <m:t>u</m:t>
        </m:r>
        <m:r>
          <m:t>t</m:t>
        </m:r>
        <m:r>
          <m:t>s</m:t>
        </m:r>
        <m:r>
          <m:t>i</m:t>
        </m:r>
        <m:r>
          <m:t>d</m:t>
        </m:r>
        <m:r>
          <m:t>e</m:t>
        </m:r>
        <m:r>
          <m:t>d</m:t>
        </m:r>
        <m:r>
          <m:t>a</m:t>
        </m:r>
        <m:r>
          <m:t>t</m:t>
        </m:r>
        <m:r>
          <m:t>e</m:t>
        </m:r>
        <m:r>
          <m:rPr>
            <m:sty m:val="p"/>
          </m:rPr>
          <m:t>*</m:t>
        </m:r>
        <m:r>
          <m:rPr>
            <m:sty m:val="p"/>
          </m:rPr>
          <m:t>*</m:t>
        </m:r>
        <m:r>
          <m:t>a</m:t>
        </m:r>
        <m:r>
          <m:t>s</m:t>
        </m:r>
        <m:r>
          <m:t>t</m:t>
        </m:r>
        <m:r>
          <m:t>h</m:t>
        </m:r>
        <m:r>
          <m:t>e</m:t>
        </m:r>
        <m:r>
          <m:t>c</m:t>
        </m:r>
        <m:r>
          <m:t>l</m:t>
        </m:r>
        <m:r>
          <m:t>o</m:t>
        </m:r>
        <m:r>
          <m:t>c</m:t>
        </m:r>
        <m:r>
          <m:t>k</m:t>
        </m:r>
        <m:r>
          <m:rPr>
            <m:sty m:val="p"/>
          </m:rPr>
          <m:t>.</m:t>
        </m:r>
        <m:r>
          <m:t>P</m:t>
        </m:r>
        <m:r>
          <m:t>o</m:t>
        </m:r>
        <m:r>
          <m:t>s</m:t>
        </m:r>
        <m:r>
          <m:t>i</m:t>
        </m:r>
        <m:r>
          <m:t>t</m:t>
        </m:r>
        <m:r>
          <m:t>i</m:t>
        </m:r>
        <m:r>
          <m:t>o</m:t>
        </m:r>
        <m:r>
          <m:t>n</m:t>
        </m:r>
        <m:r>
          <m:t>f</m:t>
        </m:r>
        <m:r>
          <m:t>o</m:t>
        </m:r>
        <m:r>
          <m:t>r</m:t>
        </m:r>
        <m:r>
          <m:t>t</m:t>
        </m:r>
        <m:r>
          <m:t>h</m:t>
        </m:r>
        <m:r>
          <m:t>e</m:t>
        </m:r>
        <m:r>
          <m:t>d</m:t>
        </m:r>
        <m:r>
          <m:t>e</m:t>
        </m:r>
        <m:r>
          <m:t>a</m:t>
        </m:r>
        <m:r>
          <m:t>l</m:t>
        </m:r>
        <m:r>
          <m:rPr>
            <m:sty m:val="p"/>
          </m:rPr>
          <m:t>,</m:t>
        </m:r>
        <m:r>
          <m:t>n</m:t>
        </m:r>
        <m:r>
          <m:t>o</m:t>
        </m:r>
        <m:r>
          <m:t>t</m:t>
        </m:r>
        <m:r>
          <m:t>t</m:t>
        </m:r>
        <m:r>
          <m:t>h</m:t>
        </m:r>
        <m:r>
          <m:t>e</m:t>
        </m:r>
        <m:r>
          <m:t>q</m:t>
        </m:r>
        <m:r>
          <m:t>u</m:t>
        </m:r>
        <m:r>
          <m:t>a</m:t>
        </m:r>
        <m:r>
          <m:t>r</m:t>
        </m:r>
        <m:r>
          <m:t>t</m:t>
        </m:r>
        <m:r>
          <m:t>e</m:t>
        </m:r>
        <m:r>
          <m:t>r</m:t>
        </m:r>
        <m:r>
          <m:rPr>
            <m:sty m:val="p"/>
          </m:rPr>
          <m:t>:</m:t>
        </m:r>
        <m:r>
          <m:t>m</m:t>
        </m:r>
        <m:r>
          <m:t>o</m:t>
        </m:r>
        <m:r>
          <m:t>d</m:t>
        </m:r>
        <m:r>
          <m:t>e</m:t>
        </m:r>
        <m:r>
          <m:t>s</m:t>
        </m:r>
        <m:r>
          <m:t>t</m:t>
        </m:r>
        <m:r>
          <m:t>u</m:t>
        </m:r>
        <m:r>
          <m:t>p</m:t>
        </m:r>
        <m:r>
          <m:t>s</m:t>
        </m:r>
        <m:r>
          <m:t>i</m:t>
        </m:r>
        <m:r>
          <m:t>d</m:t>
        </m:r>
        <m:r>
          <m:t>e</m:t>
        </m:r>
        <m:r>
          <m:t>t</m:t>
        </m:r>
        <m:r>
          <m:t>o</m:t>
        </m:r>
        <m:r>
          <m:t>c</m:t>
        </m:r>
        <m:r>
          <m:t>l</m:t>
        </m:r>
        <m:r>
          <m:t>o</m:t>
        </m:r>
        <m:r>
          <m:t>s</m:t>
        </m:r>
        <m:r>
          <m:t>e</m:t>
        </m:r>
        <m:r>
          <m:rPr>
            <m:sty m:val="p"/>
          </m:rPr>
          <m:t>,</m:t>
        </m:r>
        <m:r>
          <m:t>s</m:t>
        </m:r>
        <m:r>
          <m:t>m</m:t>
        </m:r>
        <m:r>
          <m:t>a</m:t>
        </m:r>
        <m:r>
          <m:t>l</m:t>
        </m:r>
        <m:r>
          <m:t>l</m:t>
        </m:r>
        <m:r>
          <m:t>d</m:t>
        </m:r>
        <m:r>
          <m:t>i</m:t>
        </m:r>
        <m:r>
          <m:t>v</m:t>
        </m:r>
        <m:r>
          <m:t>i</m:t>
        </m:r>
        <m:r>
          <m:t>d</m:t>
        </m:r>
        <m:r>
          <m:t>e</m:t>
        </m:r>
        <m:r>
          <m:t>n</m:t>
        </m:r>
        <m:r>
          <m:t>d</m:t>
        </m:r>
        <m:r>
          <m:t>c</m:t>
        </m:r>
        <m:r>
          <m:t>a</m:t>
        </m:r>
        <m:r>
          <m:t>r</m:t>
        </m:r>
        <m:r>
          <m:t>r</m:t>
        </m:r>
        <m:r>
          <m:t>y</m:t>
        </m:r>
        <m:r>
          <m:rPr>
            <m:sty m:val="p"/>
          </m:rPr>
          <m:t>,</m:t>
        </m:r>
        <m:r>
          <m:t>a</m:t>
        </m:r>
        <m:r>
          <m:t>n</m:t>
        </m:r>
        <m:r>
          <m:t>d</m:t>
        </m:r>
        <m:r>
          <m:t>a</m:t>
        </m:r>
        <m:r>
          <m:t>l</m:t>
        </m:r>
        <m:r>
          <m:t>a</m:t>
        </m:r>
        <m:r>
          <m:t>r</m:t>
        </m:r>
        <m:r>
          <m:t>g</m:t>
        </m:r>
        <m:r>
          <m:t>e</m:t>
        </m:r>
        <m:r>
          <m:t>d</m:t>
        </m:r>
        <m:r>
          <m:t>o</m:t>
        </m:r>
        <m:r>
          <m:t>w</m:t>
        </m:r>
        <m:r>
          <m:t>n</m:t>
        </m:r>
        <m:r>
          <m:t>s</m:t>
        </m:r>
        <m:r>
          <m:t>i</m:t>
        </m:r>
        <m:r>
          <m:t>d</m:t>
        </m:r>
        <m:r>
          <m:t>e</m:t>
        </m:r>
        <m:r>
          <m:t>g</m:t>
        </m:r>
        <m:r>
          <m:t>a</m:t>
        </m:r>
        <m:r>
          <m:t>p</m:t>
        </m:r>
        <m:r>
          <m:t>t</m:t>
        </m:r>
        <m:r>
          <m:t>o</m:t>
        </m:r>
        <m:r>
          <m:t>t</m:t>
        </m:r>
        <m:r>
          <m:t>h</m:t>
        </m:r>
        <m:r>
          <m:t>e</m:t>
        </m:r>
        <m:r>
          <m:t> </m:t>
        </m:r>
      </m:oMath>
      <w:r>
        <w:t xml:space="preserve">168 unaffected level should the national-security review derail the largest LBO ever struck. Fundamentally, EA is delivering — a record FY26 powered by Battlefield 6 — but that is now a story for its future private owners and lenders, not for public shareholders.</w:t>
      </w:r>
    </w:p>
    <w:p>
      <w:r>
        <w:pict>
          <v:rect style="width:0;height:1.5pt" o:hralign="center" o:hrstd="t" o:hr="t"/>
        </w:pict>
      </w:r>
    </w:p>
    <w:p>
      <w:pPr>
        <w:pStyle w:val="FirstParagraph"/>
      </w:pPr>
      <w:r>
        <w:rPr>
          <w:i/>
          <w:iCs/>
        </w:rPr>
        <w:t xml:space="preserve">Note: Because this is a pending-acquisition quarter, several data points above (CFIUS status, outside-date extension, EU clearance) come from third-party news reporting and should be confirmed against EA's own 8-K/press release when it posts; EA's official disclosures are the authoritative source on deal timing.</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2026-07-29T01:53:39Z</dcterms:created>
  <dcterms:modified xsi:type="dcterms:W3CDTF">2026-07-29T01:53:39Z</dcterms:modified>
</cp:coreProperties>
</file>

<file path=docProps/custom.xml><?xml version="1.0" encoding="utf-8"?>
<Properties xmlns="http://schemas.openxmlformats.org/officeDocument/2006/custom-properties" xmlns:vt="http://schemas.openxmlformats.org/officeDocument/2006/docPropsVTypes"/>
</file>