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ea-earnings-predictions--2026-07-29"/>
    <w:p>
      <w:pPr>
        <w:pStyle w:val="Heading1"/>
      </w:pPr>
      <w:r>
        <w:t xml:space="preserve">EA Earnings Predictions — 2026-07-29</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EA</w:t>
            </w:r>
          </w:p>
        </w:tc>
        <w:tc>
          <w:tcPr/>
          <w:p>
            <w:pPr>
              <w:pStyle w:val="Compact"/>
            </w:pPr>
            <w:r>
              <w:t xml:space="preserve">Report</w:t>
            </w:r>
          </w:p>
        </w:tc>
        <w:tc>
          <w:tcPr/>
          <w:p>
            <w:pPr>
              <w:pStyle w:val="Compact"/>
            </w:pPr>
            <w:r>
              <w:t xml:space="preserve">Net bookings (Q1 FY27, quarter ended June 30, 2026)</w:t>
            </w:r>
          </w:p>
        </w:tc>
        <w:tc>
          <w:tcPr/>
          <w:p>
            <w:pPr>
              <w:pStyle w:val="Compact"/>
            </w:pPr>
            <w:r>
              <w:t xml:space="preserve">BEAT</w:t>
            </w:r>
          </w:p>
        </w:tc>
        <w:tc>
          <w:tcPr/>
          <w:p>
            <w:pPr>
              <w:pStyle w:val="Compact"/>
            </w:pPr>
            <w:r>
              <w:t xml:space="preserve">pred ~</w:t>
            </w:r>
            <m:oMath>
              <m:r>
                <m:t>1.42</m:t>
              </m:r>
              <m:r>
                <m:t>B</m:t>
              </m:r>
              <m:r>
                <m:t>v</m:t>
              </m:r>
              <m:r>
                <m:t>s</m:t>
              </m:r>
              <m:r>
                <m:rPr>
                  <m:sty m:val="p"/>
                </m:rPr>
                <m:t>.</m:t>
              </m:r>
              <m:r>
                <m:t>c</m:t>
              </m:r>
              <m:r>
                <m:t>o</m:t>
              </m:r>
              <m:r>
                <m:t>n</m:t>
              </m:r>
              <m:r>
                <m:t>s</m:t>
              </m:r>
              <m:r>
                <m:t> </m:t>
              </m:r>
            </m:oMath>
            <w:r>
              <w:t xml:space="preserve">1.39B</w:t>
            </w:r>
          </w:p>
        </w:tc>
        <w:tc>
          <w:tcPr/>
          <w:p>
            <w:pPr>
              <w:pStyle w:val="Compact"/>
            </w:pPr>
            <w:r>
              <w:t xml:space="preserve">LOW</w:t>
            </w:r>
          </w:p>
        </w:tc>
      </w:tr>
      <w:tr>
        <w:tc>
          <w:tcPr/>
          <w:p>
            <w:pPr>
              <w:pStyle w:val="Compact"/>
            </w:pPr>
            <w:r>
              <w:t xml:space="preserve">EA</w:t>
            </w:r>
          </w:p>
        </w:tc>
        <w:tc>
          <w:tcPr/>
          <w:p>
            <w:pPr>
              <w:pStyle w:val="Compact"/>
            </w:pPr>
            <w:r>
              <w:t xml:space="preserve">Report</w:t>
            </w:r>
          </w:p>
        </w:tc>
        <w:tc>
          <w:tcPr/>
          <w:p>
            <w:pPr>
              <w:pStyle w:val="Compact"/>
            </w:pPr>
            <w:r>
              <w:t xml:space="preserve">Net revenue (GAAP, Q1 FY27)</w:t>
            </w:r>
          </w:p>
        </w:tc>
        <w:tc>
          <w:tcPr/>
          <w:p>
            <w:pPr>
              <w:pStyle w:val="Compact"/>
            </w:pPr>
            <w:r>
              <w:t xml:space="preserve">IN-LINE</w:t>
            </w:r>
          </w:p>
        </w:tc>
        <w:tc>
          <w:tcPr/>
          <w:p>
            <w:pPr>
              <w:pStyle w:val="Compact"/>
            </w:pPr>
            <w:r>
              <w:t xml:space="preserve">pred ~</w:t>
            </w:r>
            <m:oMath>
              <m:r>
                <m:t>1.72</m:t>
              </m:r>
              <m:r>
                <m:t>B</m:t>
              </m:r>
              <m:r>
                <m:t>v</m:t>
              </m:r>
              <m:r>
                <m:t>s</m:t>
              </m:r>
              <m:r>
                <m:rPr>
                  <m:sty m:val="p"/>
                </m:rPr>
                <m:t>.</m:t>
              </m:r>
              <m:r>
                <m:t>c</m:t>
              </m:r>
              <m:r>
                <m:t>o</m:t>
              </m:r>
              <m:r>
                <m:t>n</m:t>
              </m:r>
              <m:r>
                <m:t>s</m:t>
              </m:r>
              <m:r>
                <m:t> </m:t>
              </m:r>
            </m:oMath>
            <w:r>
              <w:t xml:space="preserve">1.73B</w:t>
            </w:r>
          </w:p>
        </w:tc>
        <w:tc>
          <w:tcPr/>
          <w:p>
            <w:pPr>
              <w:pStyle w:val="Compact"/>
            </w:pPr>
            <w:r>
              <w:t xml:space="preserve">LOW</w:t>
            </w:r>
          </w:p>
        </w:tc>
      </w:tr>
      <w:tr>
        <w:tc>
          <w:tcPr/>
          <w:p>
            <w:pPr>
              <w:pStyle w:val="Compact"/>
            </w:pPr>
            <w:r>
              <w:t xml:space="preserve">EA</w:t>
            </w:r>
          </w:p>
        </w:tc>
        <w:tc>
          <w:tcPr/>
          <w:p>
            <w:pPr>
              <w:pStyle w:val="Compact"/>
            </w:pPr>
            <w:r>
              <w:t xml:space="preserve">Report</w:t>
            </w:r>
          </w:p>
        </w:tc>
        <w:tc>
          <w:tcPr/>
          <w:p>
            <w:pPr>
              <w:pStyle w:val="Compact"/>
            </w:pPr>
            <w:r>
              <w:t xml:space="preserve">Diluted EPS (GAAP, Q1 FY27)</w:t>
            </w:r>
          </w:p>
        </w:tc>
        <w:tc>
          <w:tcPr/>
          <w:p>
            <w:pPr>
              <w:pStyle w:val="Compact"/>
            </w:pPr>
            <w:r>
              <w:t xml:space="preserve">BEAT</w:t>
            </w:r>
          </w:p>
        </w:tc>
        <w:tc>
          <w:tcPr/>
          <w:p>
            <w:pPr>
              <w:pStyle w:val="Compact"/>
            </w:pPr>
            <w:r>
              <w:t xml:space="preserve">pred ~</w:t>
            </w:r>
            <m:oMath>
              <m:r>
                <m:t>0.80</m:t>
              </m:r>
              <m:r>
                <m:t>v</m:t>
              </m:r>
              <m:r>
                <m:t>s</m:t>
              </m:r>
              <m:r>
                <m:rPr>
                  <m:sty m:val="p"/>
                </m:rPr>
                <m:t>.</m:t>
              </m:r>
              <m:r>
                <m:t>c</m:t>
              </m:r>
              <m:r>
                <m:t>o</m:t>
              </m:r>
              <m:r>
                <m:t>n</m:t>
              </m:r>
              <m:r>
                <m:t>s</m:t>
              </m:r>
              <m:r>
                <m:t> </m:t>
              </m:r>
            </m:oMath>
            <w:r>
              <w:t xml:space="preserve">0.77</w:t>
            </w:r>
          </w:p>
        </w:tc>
        <w:tc>
          <w:tcPr/>
          <w:p>
            <w:pPr>
              <w:pStyle w:val="Compact"/>
            </w:pPr>
            <w:r>
              <w:t xml:space="preserve">LOW</w:t>
            </w:r>
          </w:p>
        </w:tc>
      </w:tr>
      <w:tr>
        <w:tc>
          <w:tcPr/>
          <w:p>
            <w:pPr>
              <w:pStyle w:val="Compact"/>
            </w:pPr>
            <w:r>
              <w:t xml:space="preserve">EA</w:t>
            </w:r>
          </w:p>
        </w:tc>
        <w:tc>
          <w:tcPr/>
          <w:p>
            <w:pPr>
              <w:pStyle w:val="Compact"/>
            </w:pPr>
            <w:r>
              <w:t xml:space="preserve">Guide</w:t>
            </w:r>
          </w:p>
        </w:tc>
        <w:tc>
          <w:tcPr/>
          <w:p>
            <w:pPr>
              <w:pStyle w:val="Compact"/>
            </w:pPr>
            <w:r>
              <w:t xml:space="preserve">FY2027 formal net bookings/EPS guidance</w:t>
            </w:r>
          </w:p>
        </w:tc>
        <w:tc>
          <w:tcPr/>
          <w:p>
            <w:pPr>
              <w:pStyle w:val="Compact"/>
            </w:pPr>
            <w:r>
              <w:t xml:space="preserve">UNKNOWN</w:t>
            </w:r>
          </w:p>
        </w:tc>
        <w:tc>
          <w:tcPr/>
          <w:p>
            <w:pPr>
              <w:pStyle w:val="Compact"/>
            </w:pPr>
            <w:r>
              <w:t xml:space="preserve">guide ~</w:t>
            </w:r>
            <m:oMath>
              <m:r>
                <m:t>0</m:t>
              </m:r>
              <m:r>
                <m:rPr>
                  <m:sty m:val="p"/>
                </m:rPr>
                <m:t>(</m:t>
              </m:r>
              <m:r>
                <m:t>w</m:t>
              </m:r>
              <m:r>
                <m:t>i</m:t>
              </m:r>
              <m:r>
                <m:t>t</m:t>
              </m:r>
              <m:r>
                <m:t>h</m:t>
              </m:r>
              <m:r>
                <m:t>h</m:t>
              </m:r>
              <m:r>
                <m:t>e</m:t>
              </m:r>
              <m:r>
                <m:t>l</m:t>
              </m:r>
              <m:r>
                <m:t>d</m:t>
              </m:r>
              <m:r>
                <m:rPr>
                  <m:sty m:val="p"/>
                </m:rPr>
                <m:t>,</m:t>
              </m:r>
              <m:r>
                <m:t>n</m:t>
              </m:r>
              <m:r>
                <m:t>o</m:t>
              </m:r>
              <m:r>
                <m:t>f</m:t>
              </m:r>
              <m:r>
                <m:t>o</m:t>
              </m:r>
              <m:r>
                <m:t>r</m:t>
              </m:r>
              <m:r>
                <m:t>m</m:t>
              </m:r>
              <m:r>
                <m:t>a</m:t>
              </m:r>
              <m:r>
                <m:t>l</m:t>
              </m:r>
              <m:r>
                <m:t>o</m:t>
              </m:r>
              <m:r>
                <m:t>u</m:t>
              </m:r>
              <m:r>
                <m:t>t</m:t>
              </m:r>
              <m:r>
                <m:t>l</m:t>
              </m:r>
              <m:r>
                <m:t>o</m:t>
              </m:r>
              <m:r>
                <m:t>o</m:t>
              </m:r>
              <m:r>
                <m:t>k</m:t>
              </m:r>
              <m:r>
                <m:t>g</m:t>
              </m:r>
              <m:r>
                <m:t>i</m:t>
              </m:r>
              <m:r>
                <m:t>v</m:t>
              </m:r>
              <m:r>
                <m:t>e</m:t>
              </m:r>
              <m:r>
                <m:t>n</m:t>
              </m:r>
              <m:r>
                <m:t>p</m:t>
              </m:r>
              <m:r>
                <m:t>e</m:t>
              </m:r>
              <m:r>
                <m:t>n</m:t>
              </m:r>
              <m:r>
                <m:t>d</m:t>
              </m:r>
              <m:r>
                <m:t>i</m:t>
              </m:r>
              <m:r>
                <m:t>n</m:t>
              </m:r>
              <m:r>
                <m:t>g</m:t>
              </m:r>
              <m:r>
                <m:t>m</m:t>
              </m:r>
              <m:r>
                <m:t>e</m:t>
              </m:r>
              <m:r>
                <m:t>r</m:t>
              </m:r>
              <m:r>
                <m:t>g</m:t>
              </m:r>
              <m:r>
                <m:t>e</m:t>
              </m:r>
              <m:r>
                <m:t>r</m:t>
              </m:r>
              <m:r>
                <m:rPr>
                  <m:sty m:val="p"/>
                </m:rPr>
                <m:t>)</m:t>
              </m:r>
              <m:r>
                <m:t>v</m:t>
              </m:r>
              <m:r>
                <m:t>s</m:t>
              </m:r>
              <m:r>
                <m:rPr>
                  <m:sty m:val="p"/>
                </m:rPr>
                <m:t>.</m:t>
              </m:r>
              <m:r>
                <m:t>c</m:t>
              </m:r>
              <m:r>
                <m:t>o</m:t>
              </m:r>
              <m:r>
                <m:t>n</m:t>
              </m:r>
              <m:r>
                <m:t>s</m:t>
              </m:r>
              <m:r>
                <m:t> </m:t>
              </m:r>
            </m:oMath>
            <w:r>
              <w:t xml:space="preserve">8.3B (FY2027 net bookings consensus est.)</w:t>
            </w:r>
          </w:p>
        </w:tc>
        <w:tc>
          <w:tcPr/>
          <w:p>
            <w:pPr>
              <w:pStyle w:val="Compact"/>
            </w:pPr>
            <w:r>
              <w:t xml:space="preserve">HIGH</w:t>
            </w:r>
          </w:p>
        </w:tc>
      </w:tr>
      <w:tr>
        <w:tc>
          <w:tcPr/>
          <w:p>
            <w:pPr>
              <w:pStyle w:val="Compact"/>
            </w:pPr>
            <w:r>
              <w:t xml:space="preserve">EA</w:t>
            </w:r>
          </w:p>
        </w:tc>
        <w:tc>
          <w:tcPr/>
          <w:p>
            <w:pPr>
              <w:pStyle w:val="Compact"/>
            </w:pPr>
            <w:r>
              <w:t xml:space="preserve">Guide</w:t>
            </w:r>
          </w:p>
        </w:tc>
        <w:tc>
          <w:tcPr/>
          <w:p>
            <w:pPr>
              <w:pStyle w:val="Compact"/>
            </w:pPr>
            <w:r>
              <w:t xml:space="preserve">Quarterly dividend declaration</w:t>
            </w:r>
          </w:p>
        </w:tc>
        <w:tc>
          <w:tcPr/>
          <w:p>
            <w:pPr>
              <w:pStyle w:val="Compact"/>
            </w:pPr>
            <w:r>
              <w:t xml:space="preserve">UNCHANGED</w:t>
            </w:r>
          </w:p>
        </w:tc>
        <w:tc>
          <w:tcPr/>
          <w:p>
            <w:pPr>
              <w:pStyle w:val="Compact"/>
            </w:pPr>
            <w:r>
              <w:t xml:space="preserve">guide ~$0.19 vs. cons $0.19 (Q2 FY27 dividend per share)</w:t>
            </w:r>
          </w:p>
        </w:tc>
        <w:tc>
          <w:tcPr/>
          <w:p>
            <w:pPr>
              <w:pStyle w:val="Compact"/>
            </w:pPr>
            <w:r>
              <w:t xml:space="preserve">HIGH</w:t>
            </w:r>
          </w:p>
        </w:tc>
      </w:tr>
      <w:tr>
        <w:tc>
          <w:tcPr/>
          <w:p>
            <w:pPr>
              <w:pStyle w:val="Compact"/>
            </w:pPr>
            <w:r>
              <w:t xml:space="preserve">EA</w:t>
            </w:r>
          </w:p>
        </w:tc>
        <w:tc>
          <w:tcPr/>
          <w:p>
            <w:pPr>
              <w:pStyle w:val="Compact"/>
            </w:pPr>
            <w:r>
              <w:t xml:space="preserve">Guide</w:t>
            </w:r>
          </w:p>
        </w:tc>
        <w:tc>
          <w:tcPr/>
          <w:p>
            <w:pPr>
              <w:pStyle w:val="Compact"/>
            </w:pPr>
            <w:r>
              <w:t xml:space="preserve">Merger outside date / CFIUS closing timeline commentary</w:t>
            </w:r>
          </w:p>
        </w:tc>
        <w:tc>
          <w:tcPr/>
          <w:p>
            <w:pPr>
              <w:pStyle w:val="Compact"/>
            </w:pPr>
            <w:r>
              <w:t xml:space="preserve">UNCHANGED</w:t>
            </w:r>
          </w:p>
        </w:tc>
        <w:tc>
          <w:tcPr/>
          <w:p>
            <w:pPr>
              <w:pStyle w:val="Compact"/>
            </w:pPr>
            <w:r>
              <w:t xml:space="preserve">guide ~9/28/2026 vs. cons 9/28/2026 (merger agreement outside date, pending CFIUS clearance)</w:t>
            </w:r>
          </w:p>
        </w:tc>
        <w:tc>
          <w:tcPr/>
          <w:p>
            <w:pPr>
              <w:pStyle w:val="Compact"/>
            </w:pPr>
            <w:r>
              <w:t xml:space="preserve">MEDIUM</w:t>
            </w:r>
          </w:p>
        </w:tc>
      </w:tr>
      <w:tr>
        <w:tc>
          <w:tcPr/>
          <w:p>
            <w:pPr>
              <w:pStyle w:val="Compact"/>
            </w:pPr>
            <w:r>
              <w:t xml:space="preserve">EA</w:t>
            </w:r>
          </w:p>
        </w:tc>
        <w:tc>
          <w:tcPr/>
          <w:p>
            <w:pPr>
              <w:pStyle w:val="Compact"/>
            </w:pPr>
            <w:r>
              <w:t xml:space="preserve">Return</w:t>
            </w:r>
          </w:p>
        </w:tc>
        <w:tc>
          <w:tcPr/>
          <w:p>
            <w:pPr>
              <w:pStyle w:val="Compact"/>
            </w:pPr>
            <w:r>
              <w:t xml:space="preserve">Day-1 residual (stock − beta × S&amp;P 500)</w:t>
            </w:r>
          </w:p>
        </w:tc>
        <w:tc>
          <w:tcPr/>
          <w:p>
            <w:pPr>
              <w:pStyle w:val="Compact"/>
            </w:pPr>
            <w:r>
              <w:t xml:space="preserve">+0.1%</w:t>
            </w:r>
          </w:p>
        </w:tc>
        <w:tc>
          <w:tcPr/>
          <w:p>
            <w:pPr>
              <w:pStyle w:val="Compact"/>
            </w:pPr>
            <w:r>
              <w:t xml:space="preserve">—</w:t>
            </w:r>
          </w:p>
        </w:tc>
        <w:tc>
          <w:tcPr/>
          <w:p>
            <w:pPr>
              <w:pStyle w:val="Compact"/>
            </w:pPr>
            <w:r>
              <w:t xml:space="preserve">LOW</w:t>
            </w:r>
          </w:p>
        </w:tc>
      </w:tr>
      <w:tr>
        <w:tc>
          <w:tcPr/>
          <w:p>
            <w:pPr>
              <w:pStyle w:val="Compact"/>
            </w:pPr>
            <w:r>
              <w:t xml:space="preserve">EA</w:t>
            </w:r>
          </w:p>
        </w:tc>
        <w:tc>
          <w:tcPr/>
          <w:p>
            <w:pPr>
              <w:pStyle w:val="Compact"/>
            </w:pPr>
            <w:r>
              <w:t xml:space="preserve">Return</w:t>
            </w:r>
          </w:p>
        </w:tc>
        <w:tc>
          <w:tcPr/>
          <w:p>
            <w:pPr>
              <w:pStyle w:val="Compact"/>
            </w:pPr>
            <w:r>
              <w:t xml:space="preserve">5-day cumulative residual</w:t>
            </w:r>
          </w:p>
        </w:tc>
        <w:tc>
          <w:tcPr/>
          <w:p>
            <w:pPr>
              <w:pStyle w:val="Compact"/>
            </w:pPr>
            <w:r>
              <w:t xml:space="preserve">+0.3% (STABILIZE)</w:t>
            </w:r>
          </w:p>
        </w:tc>
        <w:tc>
          <w:tcPr/>
          <w:p>
            <w:pPr>
              <w:pStyle w:val="Compact"/>
            </w:pPr>
            <w:r>
              <w:t xml:space="preserve">EA is trading as a merger-arb instrument pinned ~0.5% below the $210 all-cash deal price, not as a fundamental story. Even a clean beat/miss on net bookings, revenue or EPS has little room to move the stock because upside is capped near $210 and downside is protected by the definitive agreement and $1B reverse break fee; any 'implicit' forward-estimate cuts from a no-guidance, no-call release are largely irrelevant to price since there is no standalone forward multiple being applied. Day-1 reaction should be muted and dominated by tone (constructive vs. cautious regulatory language) rather than KPI magnitude; over the following days the stock should stabilize near current levels, with any incremental drift driven by the EU Foreign Subsidies Regulation decision (due July 30) and CFIUS headline flow rather than earnings-based re-rating, keeping the path a stabilize rather than a genuine follow-through or fade.</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2026-07-29T01:55:33Z</dcterms:created>
  <dcterms:modified xsi:type="dcterms:W3CDTF">2026-07-29T01:55:33Z</dcterms:modified>
</cp:coreProperties>
</file>

<file path=docProps/custom.xml><?xml version="1.0" encoding="utf-8"?>
<Properties xmlns="http://schemas.openxmlformats.org/officeDocument/2006/custom-properties" xmlns:vt="http://schemas.openxmlformats.org/officeDocument/2006/docPropsVTypes"/>
</file>