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5a5ce2cc6c0bde283af58f44227c8c110843f90"/>
    <w:p>
      <w:pPr>
        <w:pStyle w:val="Heading1"/>
      </w:pPr>
      <w:r>
        <w:t xml:space="preserve">Electronic Arts (EA) Earnings Preview — Q1 FY2027 (Quarter Ended June 30, 2026)</w:t>
      </w:r>
    </w:p>
    <w:bookmarkStart w:id="9" w:name="reporting-july-29-2026"/>
    <w:p>
      <w:pPr>
        <w:pStyle w:val="Heading3"/>
      </w:pPr>
      <w:r>
        <w:t xml:space="preserve">Reporting: July 29, 2026</w:t>
      </w:r>
    </w:p>
    <w:bookmarkEnd w:id="9"/>
    <w:bookmarkStart w:id="10" w:name="X35ad535960085503ab2722ea711eb7a8bca8073"/>
    <w:p>
      <w:pPr>
        <w:pStyle w:val="Heading2"/>
      </w:pPr>
      <w:r>
        <w:t xml:space="preserve">The Big Picture: This Isn't a Normal Earnings Report</w:t>
      </w:r>
    </w:p>
    <w:p>
      <w:pPr>
        <w:pStyle w:val="FirstParagraph"/>
      </w:pPr>
      <w:r>
        <w:t xml:space="preserve">Before getting into the numbers, investors need to understand the context: EA is currently the target of the</w:t>
      </w:r>
      <w:r>
        <w:t xml:space="preserve"> </w:t>
      </w:r>
      <w:r>
        <w:rPr>
          <w:b/>
          <w:bCs/>
        </w:rPr>
        <w:t xml:space="preserve">largest all-cash sponsor take-private transaction in history</w:t>
      </w:r>
      <w:r>
        <w:t xml:space="preserve">. On September 29, 2025, EA announced it had entered into a definitive agreement to be acquired by an investor consortium comprised of PIF, Silver Lake, and Affinity Partners in an all-cash transaction that values EA at an enterprise value of approximately $55 billion. EA stockholders will receive $210 per share in cash, representing a 25% premium to EA's unaffected share price of $168.32 at market close on September 25, 2025.</w:t>
      </w:r>
    </w:p>
    <w:p>
      <w:pPr>
        <w:pStyle w:val="BodyText"/>
      </w:pPr>
      <w:r>
        <w:t xml:space="preserve">The deal has cleared most milestones: shareholders approved it with roughly 99% support in December 2025, and the HSR antitrust waiting period expired in February 2026, satisfying one condition to closing, and the European Commission approved the deal under EU merger rules on July 23, 2026. However,</w:t>
      </w:r>
      <w:r>
        <w:t xml:space="preserve"> </w:t>
      </w:r>
      <w:r>
        <w:rPr>
          <w:b/>
          <w:bCs/>
        </w:rPr>
        <w:t xml:space="preserve">the deal has not closed</w:t>
      </w:r>
      <w:r>
        <w:t xml:space="preserve">. Shareholders approved it in December 2025 and antitrust review cleared, but the deal missed its June 30, 2026 outside date and was extended to September 28, 2026 while it awaits CFIUS national-security clearance. The merger agreement sets September 28, 2026 as the outside date for the deal, with a possible automatic extension to December 28 if required regulatory approvals, including CFIUS approval, have not been received.</w:t>
      </w:r>
    </w:p>
    <w:p>
      <w:pPr>
        <w:pStyle w:val="BodyText"/>
      </w:pPr>
      <w:r>
        <w:rPr>
          <w:b/>
          <w:bCs/>
        </w:rPr>
        <w:t xml:space="preserve">Why this matters for tomorrow's print:</w:t>
      </w:r>
      <w:r>
        <w:t xml:space="preserve"> </w:t>
      </w:r>
      <w:r>
        <w:t xml:space="preserve">EA stock is trading as a merger-arbitrage instrument, not a standalone fundamental story. It closed July 28 at</w:t>
      </w:r>
      <w:r>
        <w:t xml:space="preserve"> </w:t>
      </w:r>
      <w:r>
        <w:rPr>
          <w:b/>
          <w:bCs/>
        </w:rPr>
        <w:t xml:space="preserve">$208.91</w:t>
      </w:r>
      <w:r>
        <w:t xml:space="preserve">, just</w:t>
      </w:r>
      <w:r>
        <w:t xml:space="preserve"> </w:t>
      </w:r>
      <w:r>
        <w:rPr>
          <w:b/>
          <w:bCs/>
        </w:rPr>
        <w:t xml:space="preserve">~52 cents (0.5%)</w:t>
      </w:r>
      <w:r>
        <w:t xml:space="preserve"> </w:t>
      </w:r>
      <w:r>
        <w:t xml:space="preserve">below the $210 deal price — a very tight spread that signals the market thinks the deal will close, but the stock's near-term movement will be driven far more by CFIUS headlines than by the operating results in this release.</w:t>
      </w:r>
    </w:p>
    <w:bookmarkEnd w:id="10"/>
    <w:bookmarkStart w:id="11" w:name="what-to-expect-from-the-release-itself"/>
    <w:p>
      <w:pPr>
        <w:pStyle w:val="Heading2"/>
      </w:pPr>
      <w:r>
        <w:t xml:space="preserve">What To Expect From the Release Itself</w:t>
      </w:r>
    </w:p>
    <w:p>
      <w:pPr>
        <w:pStyle w:val="FirstParagraph"/>
      </w:pPr>
      <w:r>
        <w:t xml:space="preserve">EA has not held a live earnings conference call for the past two quarters because of the pending transaction, and that pattern likely continues:</w:t>
      </w:r>
    </w:p>
    <w:p>
      <w:pPr>
        <w:pStyle w:val="Compact"/>
        <w:numPr>
          <w:ilvl w:val="0"/>
          <w:numId w:val="1001"/>
        </w:numPr>
      </w:pPr>
      <w:r>
        <w:t xml:space="preserve">For Q3 FY26, EA's process changed with the deal pending.</w:t>
      </w:r>
    </w:p>
    <w:p>
      <w:pPr>
        <w:pStyle w:val="Compact"/>
        <w:numPr>
          <w:ilvl w:val="0"/>
          <w:numId w:val="1001"/>
        </w:numPr>
      </w:pPr>
      <w:r>
        <w:t xml:space="preserve">For Q4/FY26 (reported May 5, 2026), management explicitly stated: "Given the pending transaction, Electronic Arts will not be hosting an earnings conference call this quarter" and directed investors instead to "the financial model of EA's historical results posted on EA's IR Website."</w:t>
      </w:r>
    </w:p>
    <w:p>
      <w:pPr>
        <w:pStyle w:val="FirstParagraph"/>
      </w:pPr>
      <w:r>
        <w:t xml:space="preserve">Expect a similarly abbreviated, no-call, no-formal-guidance release tomorrow — a headline print plus supplemental data tables, but no forward outlook and no Q&amp;A with management. Given the merger, EA has also stopped issuing multi-quarter or full-year guidance.</w:t>
      </w:r>
    </w:p>
    <w:bookmarkEnd w:id="11"/>
    <w:bookmarkStart w:id="13" w:name="Xf406cf1448778e4aeb23cc66cb0d025f8e0c081"/>
    <w:p>
      <w:pPr>
        <w:pStyle w:val="Heading2"/>
      </w:pPr>
      <w:r>
        <w:t xml:space="preserve">Fiscal 2026 Recap: The Business Was Actually Strong</w:t>
      </w:r>
    </w:p>
    <w:p>
      <w:pPr>
        <w:pStyle w:val="FirstParagraph"/>
      </w:pPr>
      <w:r>
        <w:t xml:space="preserve">Heading into this print, the underlying business has been performing well, which is worth remembering since the stock's price action has been almost entirely decoupled from fundamentals since last September.</w:t>
      </w:r>
    </w:p>
    <w:p>
      <w:pPr>
        <w:pStyle w:val="Compact"/>
        <w:numPr>
          <w:ilvl w:val="0"/>
          <w:numId w:val="1002"/>
        </w:numPr>
      </w:pPr>
      <w:r>
        <w:t xml:space="preserve">Net bookings were a record $8.026 billion in FY26, up 9% year-over-year, with CEO Andrew Wilson crediting "the incredibly successful launch of our iconic Battlefield franchise."</w:t>
      </w:r>
    </w:p>
    <w:p>
      <w:pPr>
        <w:pStyle w:val="Compact"/>
        <w:numPr>
          <w:ilvl w:val="0"/>
          <w:numId w:val="1002"/>
        </w:numPr>
      </w:pPr>
      <w:r>
        <w:t xml:space="preserve">Battlefield 6 was the best performing Battlefield in a fiscal year, setting numerous franchise fiscal year records.</w:t>
      </w:r>
    </w:p>
    <w:p>
      <w:pPr>
        <w:pStyle w:val="Compact"/>
        <w:numPr>
          <w:ilvl w:val="0"/>
          <w:numId w:val="1002"/>
        </w:numPr>
      </w:pPr>
      <w:r>
        <w:t xml:space="preserve">Global Football net bookings was up mid-single-digits for FY26 with growth across EA SPORTS FC 26, FC Online, and FC Mobile.</w:t>
      </w:r>
    </w:p>
    <w:p>
      <w:pPr>
        <w:pStyle w:val="Compact"/>
        <w:numPr>
          <w:ilvl w:val="0"/>
          <w:numId w:val="1002"/>
        </w:numPr>
      </w:pPr>
      <w:r>
        <w:t xml:space="preserve">Apex Legends delivered its strongest net bookings quarter of the fiscal year in Q4... For FY26, Apex Legends net bookings finished up double digits year-over-year.</w:t>
      </w:r>
    </w:p>
    <w:p>
      <w:pPr>
        <w:pStyle w:val="Compact"/>
        <w:numPr>
          <w:ilvl w:val="0"/>
          <w:numId w:val="1002"/>
        </w:numPr>
      </w:pPr>
      <w:r>
        <w:t xml:space="preserve">Net revenue for FY26 was $7.531 billion, up 1% year over year, while net cash provided by operating activities was $580 million for the quarter and $2.553 billion for the fiscal year, up 6% and 23% year over year, respectively.</w:t>
      </w:r>
    </w:p>
    <w:bookmarkStart w:id="12" w:name="X33523080b4b22b1be0e83f59f4e54f72a82695e"/>
    <w:p>
      <w:pPr>
        <w:pStyle w:val="Heading3"/>
      </w:pPr>
      <w:r>
        <w:t xml:space="preserve">FY26 Quarterly Trend (for context on where Q1 FY27 picks up)</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Q1 FY26</w:t>
            </w:r>
          </w:p>
        </w:tc>
        <w:tc>
          <w:tcPr/>
          <w:p>
            <w:pPr>
              <w:pStyle w:val="Compact"/>
            </w:pPr>
            <w:r>
              <w:t xml:space="preserve">Q2 FY26</w:t>
            </w:r>
          </w:p>
        </w:tc>
        <w:tc>
          <w:tcPr/>
          <w:p>
            <w:pPr>
              <w:pStyle w:val="Compact"/>
            </w:pPr>
            <w:r>
              <w:t xml:space="preserve">Q3 FY26</w:t>
            </w:r>
          </w:p>
        </w:tc>
        <w:tc>
          <w:tcPr/>
          <w:p>
            <w:pPr>
              <w:pStyle w:val="Compact"/>
            </w:pPr>
            <w:r>
              <w:t xml:space="preserve">Q4 FY26</w:t>
            </w:r>
          </w:p>
        </w:tc>
      </w:tr>
      <w:tr>
        <w:tc>
          <w:tcPr/>
          <w:p>
            <w:pPr>
              <w:pStyle w:val="Compact"/>
            </w:pPr>
            <w:r>
              <w:t xml:space="preserve">Net revenue</w:t>
            </w:r>
          </w:p>
        </w:tc>
        <w:tc>
          <w:tcPr/>
          <w:p>
            <w:pPr>
              <w:pStyle w:val="Compact"/>
            </w:pPr>
            <w:r>
              <w:t xml:space="preserve">$1,671M</w:t>
            </w:r>
          </w:p>
        </w:tc>
        <w:tc>
          <w:tcPr/>
          <w:p>
            <w:pPr>
              <w:pStyle w:val="Compact"/>
            </w:pPr>
            <w:r>
              <w:t xml:space="preserve">$1,839M</w:t>
            </w:r>
          </w:p>
        </w:tc>
        <w:tc>
          <w:tcPr/>
          <w:p>
            <w:pPr>
              <w:pStyle w:val="Compact"/>
            </w:pPr>
            <w:r>
              <w:t xml:space="preserve">$1,901M</w:t>
            </w:r>
          </w:p>
        </w:tc>
        <w:tc>
          <w:tcPr/>
          <w:p>
            <w:pPr>
              <w:pStyle w:val="Compact"/>
            </w:pPr>
            <w:r>
              <w:t xml:space="preserve">$2,120M</w:t>
            </w:r>
          </w:p>
        </w:tc>
      </w:tr>
      <w:tr>
        <w:tc>
          <w:tcPr/>
          <w:p>
            <w:pPr>
              <w:pStyle w:val="Compact"/>
            </w:pPr>
            <w:r>
              <w:t xml:space="preserve">Operating margin (GAAP)</w:t>
            </w:r>
          </w:p>
        </w:tc>
        <w:tc>
          <w:tcPr/>
          <w:p>
            <w:pPr>
              <w:pStyle w:val="Compact"/>
            </w:pPr>
            <w:r>
              <w:t xml:space="preserve">16%</w:t>
            </w:r>
          </w:p>
        </w:tc>
        <w:tc>
          <w:tcPr/>
          <w:p>
            <w:pPr>
              <w:pStyle w:val="Compact"/>
            </w:pPr>
            <w:r>
              <w:t xml:space="preserve">11%</w:t>
            </w:r>
          </w:p>
        </w:tc>
        <w:tc>
          <w:tcPr/>
          <w:p>
            <w:pPr>
              <w:pStyle w:val="Compact"/>
            </w:pPr>
            <w:r>
              <w:t xml:space="preserve">7%</w:t>
            </w:r>
          </w:p>
        </w:tc>
        <w:tc>
          <w:tcPr/>
          <w:p>
            <w:pPr>
              <w:pStyle w:val="Compact"/>
            </w:pPr>
            <w:r>
              <w:t xml:space="preserve">27%</w:t>
            </w:r>
          </w:p>
        </w:tc>
      </w:tr>
      <w:tr>
        <w:tc>
          <w:tcPr/>
          <w:p>
            <w:pPr>
              <w:pStyle w:val="Compact"/>
            </w:pPr>
            <w:r>
              <w:t xml:space="preserve">Diluted EPS</w:t>
            </w:r>
          </w:p>
        </w:tc>
        <w:tc>
          <w:tcPr/>
          <w:p>
            <w:pPr>
              <w:pStyle w:val="Compact"/>
            </w:pPr>
            <w:r>
              <w:t xml:space="preserve">$0.79</w:t>
            </w:r>
          </w:p>
        </w:tc>
        <w:tc>
          <w:tcPr/>
          <w:p>
            <w:pPr>
              <w:pStyle w:val="Compact"/>
            </w:pPr>
            <w:r>
              <w:t xml:space="preserve">$0.54</w:t>
            </w:r>
          </w:p>
        </w:tc>
        <w:tc>
          <w:tcPr/>
          <w:p>
            <w:pPr>
              <w:pStyle w:val="Compact"/>
            </w:pPr>
            <w:r>
              <w:t xml:space="preserve">$0.35</w:t>
            </w:r>
          </w:p>
        </w:tc>
        <w:tc>
          <w:tcPr/>
          <w:p>
            <w:pPr>
              <w:pStyle w:val="Compact"/>
            </w:pPr>
            <w:r>
              <w:t xml:space="preserve">$1.81</w:t>
            </w:r>
          </w:p>
        </w:tc>
      </w:tr>
      <w:tr>
        <w:tc>
          <w:tcPr/>
          <w:p>
            <w:pPr>
              <w:pStyle w:val="Compact"/>
            </w:pPr>
            <w:r>
              <w:t xml:space="preserve">Net bookings (approx.)</w:t>
            </w:r>
          </w:p>
        </w:tc>
        <w:tc>
          <w:tcPr/>
          <w:p>
            <w:pPr>
              <w:pStyle w:val="Compact"/>
            </w:pPr>
            <w:r>
              <w:t xml:space="preserve">~$1.30B</w:t>
            </w:r>
          </w:p>
        </w:tc>
        <w:tc>
          <w:tcPr/>
          <w:p>
            <w:pPr>
              <w:pStyle w:val="Compact"/>
            </w:pPr>
            <w:r>
              <w:t xml:space="preserve">~$1.82B</w:t>
            </w:r>
          </w:p>
        </w:tc>
        <w:tc>
          <w:tcPr/>
          <w:p>
            <w:pPr>
              <w:pStyle w:val="Compact"/>
            </w:pPr>
            <w:r>
              <w:t xml:space="preserve">~$3.05B</w:t>
            </w:r>
          </w:p>
        </w:tc>
        <w:tc>
          <w:tcPr/>
          <w:p>
            <w:pPr>
              <w:pStyle w:val="Compact"/>
            </w:pPr>
            <w:r>
              <w:t xml:space="preserve">~$1.86B</w:t>
            </w:r>
          </w:p>
        </w:tc>
      </w:tr>
    </w:tbl>
    <w:p>
      <w:pPr>
        <w:pStyle w:val="BodyText"/>
      </w:pPr>
      <w:r>
        <w:t xml:space="preserve">Q3 FY26 (Oct–Dec 2025) was massively inflated by the Battlefield 6 launch and deferred-revenue build; Q4 actually saw a modest shortfall in FQ4 bookings of $1.86B versus Street expectations of $1.99B, even as EPS beat. Q1 FY27 (the quarter just reported) is the key test of whether Battlefield 6 and Apex Legends live-services engagement can hold up in the first "steady-state" quarter after the launch spike, and how EA Sports FC and mobile are trending seasonally.</w:t>
      </w:r>
    </w:p>
    <w:bookmarkEnd w:id="12"/>
    <w:bookmarkEnd w:id="13"/>
    <w:bookmarkStart w:id="14" w:name="X92d0332f05df7793c74a388eb612621476d43ed"/>
    <w:p>
      <w:pPr>
        <w:pStyle w:val="Heading2"/>
      </w:pPr>
      <w:r>
        <w:t xml:space="preserve">Capital Return: Buybacks Have Effectively Stopped, Dividend Continues</w:t>
      </w:r>
    </w:p>
    <w:p>
      <w:pPr>
        <w:pStyle w:val="FirstParagraph"/>
      </w:pPr>
      <w:r>
        <w:t xml:space="preserve">One clear side-effect of the pending deal: capital return has been scaled back sharply. Value of shares repurchased for FY26 was $750 million versus $2,500 million in FY25, and Q4 FY26 saw</w:t>
      </w:r>
      <w:r>
        <w:t xml:space="preserve"> </w:t>
      </w:r>
      <w:r>
        <w:rPr>
          <w:b/>
          <w:bCs/>
        </w:rPr>
        <w:t xml:space="preserve">zero</w:t>
      </w:r>
      <w:r>
        <w:t xml:space="preserve"> </w:t>
      </w:r>
      <w:r>
        <w:t xml:space="preserve">share repurchases (down 100% year-over-year per the supplemental data), consistent with standard practice of pausing buybacks once a merger agreement is signed. The dividend, however, has continued uninterrupted — EA declared its routine quarterly cash dividend of $0.19 per share as recently as May 2026. Watch for confirmation of another $0.19 dividend declaration alongside tomorrow's release.</w:t>
      </w:r>
    </w:p>
    <w:bookmarkEnd w:id="14"/>
    <w:bookmarkStart w:id="15" w:name="X3d1f90884c229754d790e5ecad0348df751353c"/>
    <w:p>
      <w:pPr>
        <w:pStyle w:val="Heading2"/>
      </w:pPr>
      <w:r>
        <w:t xml:space="preserve">Regulatory Timeline — The Real Catalyst to Watch</w:t>
      </w:r>
    </w:p>
    <w:p>
      <w:pPr>
        <w:pStyle w:val="Compact"/>
        <w:numPr>
          <w:ilvl w:val="0"/>
          <w:numId w:val="1003"/>
        </w:numPr>
      </w:pPr>
      <w:r>
        <w:rPr>
          <w:b/>
          <w:bCs/>
        </w:rPr>
        <w:t xml:space="preserve">CFIUS is the last major hurdle.</w:t>
      </w:r>
      <w:r>
        <w:t xml:space="preserve"> </w:t>
      </w:r>
      <w:r>
        <w:t xml:space="preserve">Because the EA buyout is anchored by a foreign sovereign wealth fund acquiring a company that holds significant consumer data, the review has run longer than the deal's other regulatory checks and remains its last unresolved hurdle.</w:t>
      </w:r>
    </w:p>
    <w:p>
      <w:pPr>
        <w:pStyle w:val="Compact"/>
        <w:numPr>
          <w:ilvl w:val="0"/>
          <w:numId w:val="1003"/>
        </w:numPr>
      </w:pPr>
      <w:r>
        <w:t xml:space="preserve">Electronic Arts operates live-service online games that collectively touch hundreds of millions of players worldwide, collecting behavioral data, communications data, payment information — the specific national-security sensitivity CFIUS is scrutinizing.</w:t>
      </w:r>
    </w:p>
    <w:p>
      <w:pPr>
        <w:pStyle w:val="Compact"/>
        <w:numPr>
          <w:ilvl w:val="0"/>
          <w:numId w:val="1003"/>
        </w:numPr>
      </w:pPr>
      <w:r>
        <w:t xml:space="preserve">The merger agreement sets September 28, 2026 as the outside date for the deal, with a possible automatic extension to December 28 if required regulatory approvals, including CFIUS approval, have not been received and the other closing conditions are otherwise ready.</w:t>
      </w:r>
    </w:p>
    <w:p>
      <w:pPr>
        <w:pStyle w:val="Compact"/>
        <w:numPr>
          <w:ilvl w:val="0"/>
          <w:numId w:val="1003"/>
        </w:numPr>
      </w:pPr>
      <w:r>
        <w:t xml:space="preserve">Downside protection exists on both sides: the $1 billion reverse break fee on both sides further argues against either side abandoning the deal over timing alone.</w:t>
      </w:r>
    </w:p>
    <w:p>
      <w:pPr>
        <w:pStyle w:val="FirstParagraph"/>
      </w:pPr>
      <w:r>
        <w:t xml:space="preserve">Notably, the EU's parallel</w:t>
      </w:r>
      <w:r>
        <w:t xml:space="preserve"> </w:t>
      </w:r>
      <w:r>
        <w:rPr>
          <w:b/>
          <w:bCs/>
        </w:rPr>
        <w:t xml:space="preserve">Foreign Subsidies Regulation</w:t>
      </w:r>
      <w:r>
        <w:t xml:space="preserve"> </w:t>
      </w:r>
      <w:r>
        <w:t xml:space="preserve">review — a separate track from the merger clearance already granted — has a decision due by July 30, 2026, just one day after this earnings report. That could be an equally important near-term catalyst for the stock as anything in the earnings release itself.</w:t>
      </w:r>
    </w:p>
    <w:bookmarkEnd w:id="15"/>
    <w:bookmarkStart w:id="16" w:name="other-items-worth-watching"/>
    <w:p>
      <w:pPr>
        <w:pStyle w:val="Heading2"/>
      </w:pPr>
      <w:r>
        <w:t xml:space="preserve">Other Items Worth Watching</w:t>
      </w:r>
    </w:p>
    <w:p>
      <w:pPr>
        <w:pStyle w:val="Compact"/>
        <w:numPr>
          <w:ilvl w:val="0"/>
          <w:numId w:val="1004"/>
        </w:numPr>
      </w:pPr>
      <w:r>
        <w:rPr>
          <w:b/>
          <w:bCs/>
        </w:rPr>
        <w:t xml:space="preserve">Insider activity:</w:t>
      </w:r>
      <w:r>
        <w:t xml:space="preserve"> </w:t>
      </w:r>
      <w:r>
        <w:t xml:space="preserve">President of Enterprise Development Laura Miele sold roughly $517,000 of stock (about 3% of her holdings) in mid-July under a pre-planned sale arrangement — a routine 10b5-1-style transaction, not indicative of deal concerns given the size.</w:t>
      </w:r>
    </w:p>
    <w:p>
      <w:pPr>
        <w:pStyle w:val="Compact"/>
        <w:numPr>
          <w:ilvl w:val="0"/>
          <w:numId w:val="1004"/>
        </w:numPr>
      </w:pPr>
      <w:r>
        <w:rPr>
          <w:b/>
          <w:bCs/>
        </w:rPr>
        <w:t xml:space="preserve">Executive pay tied to deal progress:</w:t>
      </w:r>
      <w:r>
        <w:t xml:space="preserve"> </w:t>
      </w:r>
      <w:r>
        <w:t xml:space="preserve">EA's FY26 compensation scorecard explicitly credited management for "managing the company's business resilience in an unpredictable external environment," which "was achieved through the announcement of the take-private acquisition, which was approved by approximately 99.1% of EA stockholders who voted" — underscoring how central the transaction has become to how the company frames its own performance.</w:t>
      </w:r>
    </w:p>
    <w:p>
      <w:pPr>
        <w:pStyle w:val="Compact"/>
        <w:numPr>
          <w:ilvl w:val="0"/>
          <w:numId w:val="1004"/>
        </w:numPr>
      </w:pPr>
      <w:r>
        <w:rPr>
          <w:b/>
          <w:bCs/>
        </w:rPr>
        <w:t xml:space="preserve">Analyst sentiment:</w:t>
      </w:r>
      <w:r>
        <w:t xml:space="preserve"> </w:t>
      </w:r>
      <w:r>
        <w:t xml:space="preserve">Sell-side coverage has largely shifted to a "Hold" stance, reflecting the reality that fundamentals matter less than deal-completion odds at this stage; consensus published EPS estimates for the quarter have been inconsistent across data providers, likely reflecting confusion introduced by the lack of formal guidance.</w:t>
      </w:r>
    </w:p>
    <w:p>
      <w:pPr>
        <w:pStyle w:val="Compact"/>
        <w:numPr>
          <w:ilvl w:val="0"/>
          <w:numId w:val="1004"/>
        </w:numPr>
      </w:pPr>
      <w:r>
        <w:rPr>
          <w:b/>
          <w:bCs/>
        </w:rPr>
        <w:t xml:space="preserve">Share count:</w:t>
      </w:r>
      <w:r>
        <w:t xml:space="preserve"> </w:t>
      </w:r>
      <w:r>
        <w:t xml:space="preserve">As of July 25, 2026, there were 252,383,840 shares of the registrant's common stock outstanding, useful for anyone modeling the eventual ~$53B equity payout at $210/share.</w:t>
      </w:r>
    </w:p>
    <w:bookmarkEnd w:id="16"/>
    <w:bookmarkStart w:id="17" w:name="bottom-line-for-investors"/>
    <w:p>
      <w:pPr>
        <w:pStyle w:val="Heading2"/>
      </w:pPr>
      <w:r>
        <w:t xml:space="preserve">Bottom Line for Investors</w:t>
      </w:r>
    </w:p>
    <w:p>
      <w:pPr>
        <w:pStyle w:val="FirstParagraph"/>
      </w:pPr>
      <w:r>
        <w:t xml:space="preserve">Tomorrow's release should be read through two very different lenses:</w:t>
      </w:r>
    </w:p>
    <w:p>
      <w:pPr>
        <w:pStyle w:val="Compact"/>
        <w:numPr>
          <w:ilvl w:val="0"/>
          <w:numId w:val="1005"/>
        </w:numPr>
      </w:pPr>
      <w:r>
        <w:rPr>
          <w:b/>
          <w:bCs/>
        </w:rPr>
        <w:t xml:space="preserve">As an operating update</w:t>
      </w:r>
      <w:r>
        <w:t xml:space="preserve">, expect continued resilience in Live Services (Apex Legends, EA Sports FC) but watch closely whether Battlefield 6 bookings decelerate now that the launch quarter has passed, and whether full-game/live-services mix normalizes after Q3's deferred-revenue distortion.</w:t>
      </w:r>
    </w:p>
    <w:p>
      <w:pPr>
        <w:pStyle w:val="Compact"/>
        <w:numPr>
          <w:ilvl w:val="0"/>
          <w:numId w:val="1005"/>
        </w:numPr>
      </w:pPr>
      <w:r>
        <w:rPr>
          <w:b/>
          <w:bCs/>
        </w:rPr>
        <w:t xml:space="preserve">As a merger-arbitrage position</w:t>
      </w:r>
      <w:r>
        <w:t xml:space="preserve">, the print is largely a formality — no call, no guidance, likely a brief statement reiterating "constructive engagement with regulators." The real driver of the stock between now and year-end is</w:t>
      </w:r>
      <w:r>
        <w:t xml:space="preserve"> </w:t>
      </w:r>
      <w:r>
        <w:rPr>
          <w:b/>
          <w:bCs/>
        </w:rPr>
        <w:t xml:space="preserve">CFIUS clearance</w:t>
      </w:r>
      <w:r>
        <w:t xml:space="preserve">, with the EU Foreign Subsidies Regulation decision (due July 30) as an immediate secondary catalyst. The narrow ~0.5% spread to the $210 deal price suggests the market is pricing high odds of eventual completion, but the repeated slippage of the "outside date" (June 30 → September 28 → possible December 28) means investors should be prepared for this to remain a slow-moving, headline-driven situation rather than a traditional earnings story.</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2026-07-29T01:55:33Z</dcterms:created>
  <dcterms:modified xsi:type="dcterms:W3CDTF">2026-07-29T01:55:33Z</dcterms:modified>
</cp:coreProperties>
</file>

<file path=docProps/custom.xml><?xml version="1.0" encoding="utf-8"?>
<Properties xmlns="http://schemas.openxmlformats.org/officeDocument/2006/custom-properties" xmlns:vt="http://schemas.openxmlformats.org/officeDocument/2006/docPropsVTypes"/>
</file>