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electronic-arts-ea-earnings-preview"/>
    <w:p>
      <w:pPr>
        <w:pStyle w:val="Heading1"/>
      </w:pPr>
      <w:r>
        <w:t xml:space="preserve">Electronic Arts (EA) Earnings Preview</w:t>
      </w:r>
    </w:p>
    <w:bookmarkStart w:id="9" w:name="q1-fy2027--july-29-2026"/>
    <w:p>
      <w:pPr>
        <w:pStyle w:val="Heading2"/>
      </w:pPr>
      <w:r>
        <w:t xml:space="preserve">Q1 FY2027 — July 29, 2026</w:t>
      </w:r>
    </w:p>
    <w:p>
      <w:pPr>
        <w:pStyle w:val="BlockText"/>
      </w:pPr>
      <w:r>
        <w:rPr>
          <w:b/>
          <w:bCs/>
        </w:rPr>
        <w:t xml:space="preserve">Date clarification:</w:t>
      </w:r>
      <w:r>
        <w:t xml:space="preserve"> </w:t>
      </w:r>
      <w:r>
        <w:t xml:space="preserve">July 29, 2026 is</w:t>
      </w:r>
      <w:r>
        <w:t xml:space="preserve"> </w:t>
      </w:r>
      <w:r>
        <w:rPr>
          <w:b/>
          <w:bCs/>
        </w:rPr>
        <w:t xml:space="preserve">today</w:t>
      </w:r>
      <w:r>
        <w:t xml:space="preserve">, not tomorrow, based on the current date. The preview below assumes EA reports after the market close on Wednesday, July 29.</w:t>
      </w:r>
    </w:p>
    <w:bookmarkEnd w:id="9"/>
    <w:bookmarkStart w:id="12" w:name="X0015c21f2c18fbe455626fcc7f2b2f2b52a9e0a"/>
    <w:p>
      <w:pPr>
        <w:pStyle w:val="Heading2"/>
      </w:pPr>
      <w:r>
        <w:t xml:space="preserve">Investment view: this is primarily a merger update, secondarily an earnings report</w:t>
      </w:r>
    </w:p>
    <w:p>
      <w:pPr>
        <w:pStyle w:val="FirstParagraph"/>
      </w:pPr>
      <w:r>
        <w:t xml:space="preserve">EA is no longer trading principally on quarterly earnings. The company has agreed to be acquired for</w:t>
      </w:r>
      <w:r>
        <w:t xml:space="preserve"> </w:t>
      </w:r>
      <w:r>
        <w:rPr>
          <w:b/>
          <w:bCs/>
        </w:rPr>
        <w:t xml:space="preserve">$210 per share in cash</w:t>
      </w:r>
      <w:r>
        <w:t xml:space="preserve"> </w:t>
      </w:r>
      <w:r>
        <w:t xml:space="preserve">by a consortium led by Saudi Arabia’s Public Investment Fund, alongside Silver Lake and Affinity Partners. Shareholders have approved the transaction, and EA has secured committed equity and debt financing. (</w:t>
      </w:r>
      <w:hyperlink r:id="rId10">
        <w:r>
          <w:rPr>
            <w:rStyle w:val="Hyperlink"/>
          </w:rPr>
          <w:t xml:space="preserve">sec.gov</w:t>
        </w:r>
      </w:hyperlink>
      <w:r>
        <w:t xml:space="preserve">)</w:t>
      </w:r>
    </w:p>
    <w:p>
      <w:pPr>
        <w:pStyle w:val="BodyText"/>
      </w:pPr>
      <w:r>
        <w:t xml:space="preserve">EA closed at</w:t>
      </w:r>
      <w:r>
        <w:t xml:space="preserve"> </w:t>
      </w:r>
      <m:oMath>
        <m:r>
          <m:t>208.91</m:t>
        </m:r>
        <m:r>
          <m:t>o</m:t>
        </m:r>
        <m:r>
          <m:t>n</m:t>
        </m:r>
        <m:r>
          <m:t>J</m:t>
        </m:r>
        <m:r>
          <m:t>u</m:t>
        </m:r>
        <m:r>
          <m:t>l</m:t>
        </m:r>
        <m:r>
          <m:t>y</m:t>
        </m:r>
        <m:r>
          <m:t>28</m:t>
        </m:r>
        <m:r>
          <m:rPr>
            <m:sty m:val="p"/>
          </m:rPr>
          <m:t>*</m:t>
        </m:r>
        <m:r>
          <m:rPr>
            <m:sty m:val="p"/>
          </m:rPr>
          <m:t>*</m:t>
        </m:r>
        <m:r>
          <m:rPr>
            <m:sty m:val="p"/>
          </m:rPr>
          <m:t>,</m:t>
        </m:r>
        <m:r>
          <m:t>l</m:t>
        </m:r>
        <m:r>
          <m:t>e</m:t>
        </m:r>
        <m:r>
          <m:t>a</m:t>
        </m:r>
        <m:r>
          <m:t>v</m:t>
        </m:r>
        <m:r>
          <m:t>i</m:t>
        </m:r>
        <m:r>
          <m:t>n</m:t>
        </m:r>
        <m:r>
          <m:t>g</m:t>
        </m:r>
        <m:r>
          <m:t>o</m:t>
        </m:r>
        <m:r>
          <m:t>n</m:t>
        </m:r>
        <m:r>
          <m:t>l</m:t>
        </m:r>
        <m:r>
          <m:t>y</m:t>
        </m:r>
        <m:r>
          <m:rPr>
            <m:sty m:val="p"/>
          </m:rPr>
          <m:t>*</m:t>
        </m:r>
        <m:r>
          <m:rPr>
            <m:sty m:val="p"/>
          </m:rPr>
          <m:t>*</m:t>
        </m:r>
      </m:oMath>
      <w:r>
        <w:rPr>
          <w:b/>
          <w:bCs/>
        </w:rPr>
        <w:t xml:space="preserve">1.09 per share, or 0.52%,</w:t>
      </w:r>
      <w:r>
        <w:t xml:space="preserve"> </w:t>
      </w:r>
      <w:r>
        <w:t xml:space="preserve">of gross upside to the deal price. Consequently:</w:t>
      </w:r>
    </w:p>
    <w:p>
      <w:pPr>
        <w:pStyle w:val="Compact"/>
        <w:numPr>
          <w:ilvl w:val="0"/>
          <w:numId w:val="1001"/>
        </w:numPr>
      </w:pPr>
      <w:r>
        <w:t xml:space="preserve">A strong quarter should have limited ability to push the stock materially above $210.</w:t>
      </w:r>
    </w:p>
    <w:p>
      <w:pPr>
        <w:pStyle w:val="Compact"/>
        <w:numPr>
          <w:ilvl w:val="0"/>
          <w:numId w:val="1001"/>
        </w:numPr>
      </w:pPr>
      <w:r>
        <w:t xml:space="preserve">A credible near-term closing update could eliminate most of the remaining spread.</w:t>
      </w:r>
    </w:p>
    <w:p>
      <w:pPr>
        <w:pStyle w:val="Compact"/>
        <w:numPr>
          <w:ilvl w:val="0"/>
          <w:numId w:val="1001"/>
        </w:numPr>
      </w:pPr>
      <w:r>
        <w:t xml:space="preserve">Any new regulatory delay or transaction uncertainty could matter far more than an ordinary earnings beat or miss.</w:t>
      </w:r>
    </w:p>
    <w:p>
      <w:pPr>
        <w:pStyle w:val="FirstParagraph"/>
      </w:pPr>
      <w:r>
        <w:t xml:space="preserve">The European Commission approved the acquisition under EU merger rules on July 23, removing a major hurdle. However, the transaction has already moved beyond EA’s original expectation that it would close during fiscal Q1, which ended June 30. The merger agreement’s outside date is</w:t>
      </w:r>
      <w:r>
        <w:t xml:space="preserve"> </w:t>
      </w:r>
      <w:r>
        <w:rPr>
          <w:b/>
          <w:bCs/>
        </w:rPr>
        <w:t xml:space="preserve">September 28, 2026</w:t>
      </w:r>
      <w:r>
        <w:t xml:space="preserve">, making the status of the remaining approvals the most important item in the release. (</w:t>
      </w:r>
      <w:hyperlink r:id="rId11">
        <w:r>
          <w:rPr>
            <w:rStyle w:val="Hyperlink"/>
          </w:rPr>
          <w:t xml:space="preserve">ca.marketscreener.com</w:t>
        </w:r>
      </w:hyperlink>
      <w:r>
        <w:t xml:space="preserve">)</w:t>
      </w:r>
    </w:p>
    <w:p>
      <w:r>
        <w:pict>
          <v:rect style="width:0;height:1.5pt" o:hralign="center" o:hrstd="t" o:hr="t"/>
        </w:pict>
      </w:r>
    </w:p>
    <w:bookmarkEnd w:id="12"/>
    <w:bookmarkStart w:id="14" w:name="reference-numbers"/>
    <w:p>
      <w:pPr>
        <w:pStyle w:val="Heading2"/>
      </w:pPr>
      <w:r>
        <w:t xml:space="preserve">Reference numbers</w:t>
      </w:r>
    </w:p>
    <w:p>
      <w:pPr>
        <w:pStyle w:val="FirstParagraph"/>
      </w:pPr>
      <w:r>
        <w:t xml:space="preserve">EA did not provide a normal FY2027 outlook with its May results because of the pending acquisition. The best operating reference is therefore the prior-year quarter rather than a company guidance range.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Q1 FY2026 actual</w:t>
            </w:r>
          </w:p>
        </w:tc>
      </w:tr>
      <w:tr>
        <w:tc>
          <w:tcPr/>
          <w:p>
            <w:pPr>
              <w:pStyle w:val="Compact"/>
            </w:pPr>
            <w:r>
              <w:t xml:space="preserve">Net bookings</w:t>
            </w:r>
          </w:p>
        </w:tc>
        <w:tc>
          <w:tcPr/>
          <w:p>
            <w:pPr>
              <w:pStyle w:val="Compact"/>
              <w:jc w:val="right"/>
            </w:pPr>
            <w:r>
              <w:rPr>
                <w:b/>
                <w:bCs/>
              </w:rPr>
              <w:t xml:space="preserve">$1.298 billion</w:t>
            </w:r>
          </w:p>
        </w:tc>
      </w:tr>
      <w:tr>
        <w:tc>
          <w:tcPr/>
          <w:p>
            <w:pPr>
              <w:pStyle w:val="Compact"/>
            </w:pPr>
            <w:r>
              <w:t xml:space="preserve">GAAP revenue</w:t>
            </w:r>
          </w:p>
        </w:tc>
        <w:tc>
          <w:tcPr/>
          <w:p>
            <w:pPr>
              <w:pStyle w:val="Compact"/>
              <w:jc w:val="right"/>
            </w:pPr>
            <w:r>
              <w:rPr>
                <w:b/>
                <w:bCs/>
              </w:rPr>
              <w:t xml:space="preserve">$1.671 billion</w:t>
            </w:r>
          </w:p>
        </w:tc>
      </w:tr>
      <w:tr>
        <w:tc>
          <w:tcPr/>
          <w:p>
            <w:pPr>
              <w:pStyle w:val="Compact"/>
            </w:pPr>
            <w:r>
              <w:t xml:space="preserve">Full-game revenue</w:t>
            </w:r>
          </w:p>
        </w:tc>
        <w:tc>
          <w:tcPr/>
          <w:p>
            <w:pPr>
              <w:pStyle w:val="Compact"/>
              <w:jc w:val="right"/>
            </w:pPr>
            <w:r>
              <w:rPr>
                <w:b/>
                <w:bCs/>
              </w:rPr>
              <w:t xml:space="preserve">$289 million</w:t>
            </w:r>
          </w:p>
        </w:tc>
      </w:tr>
      <w:tr>
        <w:tc>
          <w:tcPr/>
          <w:p>
            <w:pPr>
              <w:pStyle w:val="Compact"/>
            </w:pPr>
            <w:r>
              <w:t xml:space="preserve">Live services and other revenue</w:t>
            </w:r>
          </w:p>
        </w:tc>
        <w:tc>
          <w:tcPr/>
          <w:p>
            <w:pPr>
              <w:pStyle w:val="Compact"/>
              <w:jc w:val="right"/>
            </w:pPr>
            <w:r>
              <w:rPr>
                <w:b/>
                <w:bCs/>
              </w:rPr>
              <w:t xml:space="preserve">$1.382 billion</w:t>
            </w:r>
          </w:p>
        </w:tc>
      </w:tr>
      <w:tr>
        <w:tc>
          <w:tcPr/>
          <w:p>
            <w:pPr>
              <w:pStyle w:val="Compact"/>
            </w:pPr>
            <w:r>
              <w:t xml:space="preserve">GAAP operating income</w:t>
            </w:r>
          </w:p>
        </w:tc>
        <w:tc>
          <w:tcPr/>
          <w:p>
            <w:pPr>
              <w:pStyle w:val="Compact"/>
              <w:jc w:val="right"/>
            </w:pPr>
            <w:r>
              <w:rPr>
                <w:b/>
                <w:bCs/>
              </w:rPr>
              <w:t xml:space="preserve">$271 million</w:t>
            </w:r>
          </w:p>
        </w:tc>
      </w:tr>
      <w:tr>
        <w:tc>
          <w:tcPr/>
          <w:p>
            <w:pPr>
              <w:pStyle w:val="Compact"/>
            </w:pPr>
            <w:r>
              <w:t xml:space="preserve">GAAP diluted EPS</w:t>
            </w:r>
          </w:p>
        </w:tc>
        <w:tc>
          <w:tcPr/>
          <w:p>
            <w:pPr>
              <w:pStyle w:val="Compact"/>
              <w:jc w:val="right"/>
            </w:pPr>
            <w:r>
              <w:rPr>
                <w:b/>
                <w:bCs/>
              </w:rPr>
              <w:t xml:space="preserve">$0.79</w:t>
            </w:r>
          </w:p>
        </w:tc>
      </w:tr>
      <w:tr>
        <w:tc>
          <w:tcPr/>
          <w:p>
            <w:pPr>
              <w:pStyle w:val="Compact"/>
            </w:pPr>
            <w:r>
              <w:t xml:space="preserve">Operating cash flow</w:t>
            </w:r>
          </w:p>
        </w:tc>
        <w:tc>
          <w:tcPr/>
          <w:p>
            <w:pPr>
              <w:pStyle w:val="Compact"/>
              <w:jc w:val="right"/>
            </w:pPr>
            <w:r>
              <w:rPr>
                <w:b/>
                <w:bCs/>
              </w:rPr>
              <w:t xml:space="preserve">$17 million</w:t>
            </w:r>
          </w:p>
        </w:tc>
      </w:tr>
    </w:tbl>
    <w:p>
      <w:pPr>
        <w:pStyle w:val="BodyText"/>
      </w:pPr>
      <w:r>
        <w:t xml:space="preserve">Last year’s quarter was modestly better than EA had expected, with global football, Apex Legends, catalog sales and F1 25 contributing to the upside. (</w:t>
      </w:r>
      <w:hyperlink r:id="rId13">
        <w:r>
          <w:rPr>
            <w:rStyle w:val="Hyperlink"/>
          </w:rPr>
          <w:t xml:space="preserve">ir.ea.com</w:t>
        </w:r>
      </w:hyperlink>
      <w:r>
        <w:t xml:space="preserve">)</w:t>
      </w:r>
    </w:p>
    <w:p>
      <w:pPr>
        <w:pStyle w:val="BodyText"/>
      </w:pPr>
      <w:r>
        <w:t xml:space="preserve">These are</w:t>
      </w:r>
      <w:r>
        <w:t xml:space="preserve"> </w:t>
      </w:r>
      <w:r>
        <w:rPr>
          <w:b/>
          <w:bCs/>
        </w:rPr>
        <w:t xml:space="preserve">year-over-year comparison points, not current consensus estimates</w:t>
      </w:r>
      <w:r>
        <w:t xml:space="preserve">.</w:t>
      </w:r>
    </w:p>
    <w:p>
      <w:r>
        <w:pict>
          <v:rect style="width:0;height:1.5pt" o:hralign="center" o:hrstd="t" o:hr="t"/>
        </w:pict>
      </w:r>
    </w:p>
    <w:bookmarkEnd w:id="14"/>
    <w:bookmarkStart w:id="27" w:name="what-matters-in-the-results"/>
    <w:p>
      <w:pPr>
        <w:pStyle w:val="Heading2"/>
      </w:pPr>
      <w:r>
        <w:t xml:space="preserve">What matters in the results</w:t>
      </w:r>
    </w:p>
    <w:bookmarkStart w:id="16" w:name="X827490176076f99607bc88adbe2872a47550aef"/>
    <w:p>
      <w:pPr>
        <w:pStyle w:val="Heading3"/>
      </w:pPr>
      <w:r>
        <w:t xml:space="preserve">1. Merger timing and remaining approvals</w:t>
      </w:r>
    </w:p>
    <w:p>
      <w:pPr>
        <w:pStyle w:val="FirstParagraph"/>
      </w:pPr>
      <w:r>
        <w:t xml:space="preserve">The key questions are straightforward:</w:t>
      </w:r>
    </w:p>
    <w:p>
      <w:pPr>
        <w:pStyle w:val="Compact"/>
        <w:numPr>
          <w:ilvl w:val="0"/>
          <w:numId w:val="1002"/>
        </w:numPr>
      </w:pPr>
      <w:r>
        <w:t xml:space="preserve">Which regulatory approvals remain outstanding?</w:t>
      </w:r>
    </w:p>
    <w:p>
      <w:pPr>
        <w:pStyle w:val="Compact"/>
        <w:numPr>
          <w:ilvl w:val="0"/>
          <w:numId w:val="1002"/>
        </w:numPr>
      </w:pPr>
      <w:r>
        <w:t xml:space="preserve">Has EA received or completed the applicable national-security review?</w:t>
      </w:r>
    </w:p>
    <w:p>
      <w:pPr>
        <w:pStyle w:val="Compact"/>
        <w:numPr>
          <w:ilvl w:val="0"/>
          <w:numId w:val="1002"/>
        </w:numPr>
      </w:pPr>
      <w:r>
        <w:t xml:space="preserve">Is there now a specific expected closing date?</w:t>
      </w:r>
    </w:p>
    <w:p>
      <w:pPr>
        <w:pStyle w:val="Compact"/>
        <w:numPr>
          <w:ilvl w:val="0"/>
          <w:numId w:val="1002"/>
        </w:numPr>
      </w:pPr>
      <w:r>
        <w:t xml:space="preserve">Does management still expect the transaction to close before the September 28 outside date?</w:t>
      </w:r>
    </w:p>
    <w:p>
      <w:pPr>
        <w:pStyle w:val="Compact"/>
        <w:numPr>
          <w:ilvl w:val="0"/>
          <w:numId w:val="1002"/>
        </w:numPr>
      </w:pPr>
      <w:r>
        <w:t xml:space="preserve">Are all financing commitments and other closing conditions intact?</w:t>
      </w:r>
    </w:p>
    <w:p>
      <w:pPr>
        <w:pStyle w:val="FirstParagraph"/>
      </w:pPr>
      <w:r>
        <w:t xml:space="preserve">The strongest possible update would be that all material approvals have been obtained and closing is imminent. A vague statement that the parties continue to work constructively with regulators would be less reassuring, particularly because the original April–June closing window has passed.</w:t>
      </w:r>
    </w:p>
    <w:p>
      <w:pPr>
        <w:pStyle w:val="BodyText"/>
      </w:pPr>
      <w:r>
        <w:t xml:space="preserve">EA stopped holding earnings calls after announcing the transaction, including for its Q3 and Q4 reports, so investors should be prepared for limited management commentary and no analyst Q&amp;A. (</w:t>
      </w:r>
      <w:hyperlink r:id="rId15">
        <w:r>
          <w:rPr>
            <w:rStyle w:val="Hyperlink"/>
          </w:rPr>
          <w:t xml:space="preserve">ir.ea.com</w:t>
        </w:r>
      </w:hyperlink>
      <w:r>
        <w:t xml:space="preserve">)</w:t>
      </w:r>
    </w:p>
    <w:bookmarkEnd w:id="16"/>
    <w:bookmarkStart w:id="19" w:name="X8d1633528754d2df6249ce722ec147902fad440"/>
    <w:p>
      <w:pPr>
        <w:pStyle w:val="Heading3"/>
      </w:pPr>
      <w:r>
        <w:t xml:space="preserve">2. Battlefield 6’s post-launch durability</w:t>
      </w:r>
    </w:p>
    <w:p>
      <w:pPr>
        <w:pStyle w:val="FirstParagraph"/>
      </w:pPr>
      <w:r>
        <w:t xml:space="preserve">Battlefield 6 was the central driver of EA’s record FY2026:</w:t>
      </w:r>
    </w:p>
    <w:p>
      <w:pPr>
        <w:pStyle w:val="Compact"/>
        <w:numPr>
          <w:ilvl w:val="0"/>
          <w:numId w:val="1003"/>
        </w:numPr>
      </w:pPr>
      <w:r>
        <w:t xml:space="preserve">FY2026 net bookings rose</w:t>
      </w:r>
      <w:r>
        <w:t xml:space="preserve"> </w:t>
      </w:r>
      <w:r>
        <w:rPr>
          <w:b/>
          <w:bCs/>
        </w:rPr>
        <w:t xml:space="preserve">9% to $8.026 billion</w:t>
      </w:r>
      <w:r>
        <w:t xml:space="preserve">.</w:t>
      </w:r>
    </w:p>
    <w:p>
      <w:pPr>
        <w:pStyle w:val="Compact"/>
        <w:numPr>
          <w:ilvl w:val="0"/>
          <w:numId w:val="1003"/>
        </w:numPr>
      </w:pPr>
      <w:r>
        <w:t xml:space="preserve">Battlefield 6 was the franchise’s best-performing title in a fiscal year.</w:t>
      </w:r>
    </w:p>
    <w:p>
      <w:pPr>
        <w:pStyle w:val="Compact"/>
        <w:numPr>
          <w:ilvl w:val="0"/>
          <w:numId w:val="1003"/>
        </w:numPr>
      </w:pPr>
      <w:r>
        <w:t xml:space="preserve">The game drove both full-game sales and live-service bookings.</w:t>
      </w:r>
    </w:p>
    <w:p>
      <w:pPr>
        <w:pStyle w:val="Compact"/>
        <w:numPr>
          <w:ilvl w:val="0"/>
          <w:numId w:val="1003"/>
        </w:numPr>
      </w:pPr>
      <w:r>
        <w:t xml:space="preserve">It also contributed to higher hosting, development and marketing costs. (</w:t>
      </w:r>
      <w:hyperlink r:id="rId17">
        <w:r>
          <w:rPr>
            <w:rStyle w:val="Hyperlink"/>
          </w:rPr>
          <w:t xml:space="preserve">ir.ea.com</w:t>
        </w:r>
      </w:hyperlink>
      <w:r>
        <w:t xml:space="preserve">)</w:t>
      </w:r>
    </w:p>
    <w:p>
      <w:pPr>
        <w:pStyle w:val="FirstParagraph"/>
      </w:pPr>
      <w:r>
        <w:t xml:space="preserve">The upcoming quarter captures Battlefield’s first full post-launch spring period. Investors should look for evidence that the game is evolving from a successful launch into a durable live-service platform:</w:t>
      </w:r>
    </w:p>
    <w:p>
      <w:pPr>
        <w:pStyle w:val="Compact"/>
        <w:numPr>
          <w:ilvl w:val="0"/>
          <w:numId w:val="1004"/>
        </w:numPr>
      </w:pPr>
      <w:r>
        <w:t xml:space="preserve">Battle Pass and in-game spending;</w:t>
      </w:r>
    </w:p>
    <w:p>
      <w:pPr>
        <w:pStyle w:val="Compact"/>
        <w:numPr>
          <w:ilvl w:val="0"/>
          <w:numId w:val="1004"/>
        </w:numPr>
      </w:pPr>
      <w:r>
        <w:t xml:space="preserve">player retention;</w:t>
      </w:r>
    </w:p>
    <w:p>
      <w:pPr>
        <w:pStyle w:val="Compact"/>
        <w:numPr>
          <w:ilvl w:val="0"/>
          <w:numId w:val="1004"/>
        </w:numPr>
      </w:pPr>
      <w:r>
        <w:t xml:space="preserve">engagement with Season 3 content;</w:t>
      </w:r>
    </w:p>
    <w:p>
      <w:pPr>
        <w:pStyle w:val="Compact"/>
        <w:numPr>
          <w:ilvl w:val="0"/>
          <w:numId w:val="1004"/>
        </w:numPr>
      </w:pPr>
      <w:r>
        <w:t xml:space="preserve">progress toward Season 4;</w:t>
      </w:r>
    </w:p>
    <w:p>
      <w:pPr>
        <w:pStyle w:val="Compact"/>
        <w:numPr>
          <w:ilvl w:val="0"/>
          <w:numId w:val="1004"/>
        </w:numPr>
      </w:pPr>
      <w:r>
        <w:t xml:space="preserve">any change in content cadence or development spending.</w:t>
      </w:r>
    </w:p>
    <w:p>
      <w:pPr>
        <w:pStyle w:val="FirstParagraph"/>
      </w:pPr>
      <w:r>
        <w:t xml:space="preserve">EA continued to release new Battlefield content throughout June, including events, maps, modes and additional Battle Pass content. That is encouraging for engagement, but the financial question is whether monetization remains strong as the launch-driven player surge normalizes. (</w:t>
      </w:r>
      <w:hyperlink r:id="rId18">
        <w:r>
          <w:rPr>
            <w:rStyle w:val="Hyperlink"/>
          </w:rPr>
          <w:t xml:space="preserve">ea.com</w:t>
        </w:r>
      </w:hyperlink>
      <w:r>
        <w:t xml:space="preserve">)</w:t>
      </w:r>
    </w:p>
    <w:bookmarkEnd w:id="19"/>
    <w:bookmarkStart w:id="21" w:name="X40f72bcc165fd6dd935c301266db1920bc05236"/>
    <w:p>
      <w:pPr>
        <w:pStyle w:val="Heading3"/>
      </w:pPr>
      <w:r>
        <w:t xml:space="preserve">3. Apex Legends: can the recovery persist?</w:t>
      </w:r>
    </w:p>
    <w:p>
      <w:pPr>
        <w:pStyle w:val="FirstParagraph"/>
      </w:pPr>
      <w:r>
        <w:t xml:space="preserve">Apex exited FY2026 with improving momentum:</w:t>
      </w:r>
    </w:p>
    <w:p>
      <w:pPr>
        <w:pStyle w:val="Compact"/>
        <w:numPr>
          <w:ilvl w:val="0"/>
          <w:numId w:val="1005"/>
        </w:numPr>
      </w:pPr>
      <w:r>
        <w:t xml:space="preserve">Q4 was its strongest bookings quarter of the fiscal year.</w:t>
      </w:r>
    </w:p>
    <w:p>
      <w:pPr>
        <w:pStyle w:val="Compact"/>
        <w:numPr>
          <w:ilvl w:val="0"/>
          <w:numId w:val="1005"/>
        </w:numPr>
      </w:pPr>
      <w:r>
        <w:t xml:space="preserve">Full-year net bookings increased at a double-digit rate.</w:t>
      </w:r>
    </w:p>
    <w:p>
      <w:pPr>
        <w:pStyle w:val="Compact"/>
        <w:numPr>
          <w:ilvl w:val="0"/>
          <w:numId w:val="1005"/>
        </w:numPr>
      </w:pPr>
      <w:r>
        <w:t xml:space="preserve">EA attributed the improvement to better engagement and monetization. (</w:t>
      </w:r>
      <w:hyperlink r:id="rId17">
        <w:r>
          <w:rPr>
            <w:rStyle w:val="Hyperlink"/>
          </w:rPr>
          <w:t xml:space="preserve">ir.ea.com</w:t>
        </w:r>
      </w:hyperlink>
      <w:r>
        <w:t xml:space="preserve">)</w:t>
      </w:r>
    </w:p>
    <w:p>
      <w:pPr>
        <w:pStyle w:val="FirstParagraph"/>
      </w:pPr>
      <w:r>
        <w:t xml:space="preserve">The June quarter included the launch of Season 29,</w:t>
      </w:r>
      <w:r>
        <w:t xml:space="preserve"> </w:t>
      </w:r>
      <w:r>
        <w:rPr>
          <w:i/>
          <w:iCs/>
        </w:rPr>
        <w:t xml:space="preserve">Overclocked</w:t>
      </w:r>
      <w:r>
        <w:t xml:space="preserve">, a new Legend and multiple live events. The key indicators will be whether Apex maintained double-digit growth and whether improved monetization came with stable player engagement rather than short-lived event spending. (</w:t>
      </w:r>
      <w:hyperlink r:id="rId20">
        <w:r>
          <w:rPr>
            <w:rStyle w:val="Hyperlink"/>
          </w:rPr>
          <w:t xml:space="preserve">ea.com</w:t>
        </w:r>
      </w:hyperlink>
      <w:r>
        <w:t xml:space="preserve">)</w:t>
      </w:r>
    </w:p>
    <w:p>
      <w:pPr>
        <w:pStyle w:val="BodyText"/>
      </w:pPr>
      <w:r>
        <w:t xml:space="preserve">A renewed decline would raise questions about the durability of FY2026’s recovery. Continued growth would strengthen the case that EA has repaired one of its more volatile live-service assets.</w:t>
      </w:r>
    </w:p>
    <w:bookmarkEnd w:id="21"/>
    <w:bookmarkStart w:id="23" w:name="Xa71f103babdc9f67e9bc8177022839dcef8545d"/>
    <w:p>
      <w:pPr>
        <w:pStyle w:val="Heading3"/>
      </w:pPr>
      <w:r>
        <w:t xml:space="preserve">4. Global football remains the foundation</w:t>
      </w:r>
    </w:p>
    <w:p>
      <w:pPr>
        <w:pStyle w:val="FirstParagraph"/>
      </w:pPr>
      <w:r>
        <w:t xml:space="preserve">EA’s global football portfolio grew bookings at a mid-single-digit rate in FY2026, with contributions from EA Sports FC 26, FC Online and FC Mobile. Ultimate Team remains one of EA’s most economically important live services. (</w:t>
      </w:r>
      <w:hyperlink r:id="rId17">
        <w:r>
          <w:rPr>
            <w:rStyle w:val="Hyperlink"/>
          </w:rPr>
          <w:t xml:space="preserve">ir.ea.com</w:t>
        </w:r>
      </w:hyperlink>
      <w:r>
        <w:t xml:space="preserve">)</w:t>
      </w:r>
    </w:p>
    <w:p>
      <w:pPr>
        <w:pStyle w:val="BodyText"/>
      </w:pPr>
      <w:r>
        <w:t xml:space="preserve">For the reported quarter, the focus should be on:</w:t>
      </w:r>
    </w:p>
    <w:p>
      <w:pPr>
        <w:pStyle w:val="Compact"/>
        <w:numPr>
          <w:ilvl w:val="0"/>
          <w:numId w:val="1006"/>
        </w:numPr>
      </w:pPr>
      <w:r>
        <w:t xml:space="preserve">FC 26 Ultimate Team engagement and spending;</w:t>
      </w:r>
    </w:p>
    <w:p>
      <w:pPr>
        <w:pStyle w:val="Compact"/>
        <w:numPr>
          <w:ilvl w:val="0"/>
          <w:numId w:val="1006"/>
        </w:numPr>
      </w:pPr>
      <w:r>
        <w:t xml:space="preserve">FC Mobile growth;</w:t>
      </w:r>
    </w:p>
    <w:p>
      <w:pPr>
        <w:pStyle w:val="Compact"/>
        <w:numPr>
          <w:ilvl w:val="0"/>
          <w:numId w:val="1006"/>
        </w:numPr>
      </w:pPr>
      <w:r>
        <w:t xml:space="preserve">performance of FC Online;</w:t>
      </w:r>
    </w:p>
    <w:p>
      <w:pPr>
        <w:pStyle w:val="Compact"/>
        <w:numPr>
          <w:ilvl w:val="0"/>
          <w:numId w:val="1006"/>
        </w:numPr>
      </w:pPr>
      <w:r>
        <w:t xml:space="preserve">whether the franchise maintained growth late in its annual cycle.</w:t>
      </w:r>
    </w:p>
    <w:p>
      <w:pPr>
        <w:pStyle w:val="FirstParagraph"/>
      </w:pPr>
      <w:r>
        <w:t xml:space="preserve">FC 27 preorders began on July 23 and the game launches globally on September 25, so preorder commentary and initial reception may affect the outlook but will not meaningfully influence the June-quarter results. (</w:t>
      </w:r>
      <w:hyperlink r:id="rId22">
        <w:r>
          <w:rPr>
            <w:rStyle w:val="Hyperlink"/>
          </w:rPr>
          <w:t xml:space="preserve">ea.com</w:t>
        </w:r>
      </w:hyperlink>
      <w:r>
        <w:t xml:space="preserve">)</w:t>
      </w:r>
    </w:p>
    <w:bookmarkEnd w:id="23"/>
    <w:bookmarkStart w:id="26" w:name="X70b7350ffd8ccbc090475c772cd2b5470195486"/>
    <w:p>
      <w:pPr>
        <w:pStyle w:val="Heading3"/>
      </w:pPr>
      <w:r>
        <w:t xml:space="preserve">5. The American-football outlook</w:t>
      </w:r>
    </w:p>
    <w:p>
      <w:pPr>
        <w:pStyle w:val="FirstParagraph"/>
      </w:pPr>
      <w:r>
        <w:t xml:space="preserve">The quarter ended before EA’s major annual football launches:</w:t>
      </w:r>
    </w:p>
    <w:p>
      <w:pPr>
        <w:pStyle w:val="Compact"/>
        <w:numPr>
          <w:ilvl w:val="0"/>
          <w:numId w:val="1007"/>
        </w:numPr>
      </w:pPr>
      <w:r>
        <w:rPr>
          <w:b/>
          <w:bCs/>
        </w:rPr>
        <w:t xml:space="preserve">College Football 27:</w:t>
      </w:r>
      <w:r>
        <w:t xml:space="preserve"> </w:t>
      </w:r>
      <w:r>
        <w:t xml:space="preserve">July 9;</w:t>
      </w:r>
    </w:p>
    <w:p>
      <w:pPr>
        <w:pStyle w:val="Compact"/>
        <w:numPr>
          <w:ilvl w:val="0"/>
          <w:numId w:val="1007"/>
        </w:numPr>
      </w:pPr>
      <w:r>
        <w:rPr>
          <w:b/>
          <w:bCs/>
        </w:rPr>
        <w:t xml:space="preserve">Madden NFL 27:</w:t>
      </w:r>
      <w:r>
        <w:t xml:space="preserve"> </w:t>
      </w:r>
      <w:r>
        <w:t xml:space="preserve">August 13;</w:t>
      </w:r>
    </w:p>
    <w:p>
      <w:pPr>
        <w:pStyle w:val="Compact"/>
        <w:numPr>
          <w:ilvl w:val="0"/>
          <w:numId w:val="1007"/>
        </w:numPr>
      </w:pPr>
      <w:r>
        <w:rPr>
          <w:b/>
          <w:bCs/>
        </w:rPr>
        <w:t xml:space="preserve">EA Sports FC 27:</w:t>
      </w:r>
      <w:r>
        <w:t xml:space="preserve"> </w:t>
      </w:r>
      <w:r>
        <w:t xml:space="preserve">September 25. (</w:t>
      </w:r>
      <w:hyperlink r:id="rId24">
        <w:r>
          <w:rPr>
            <w:rStyle w:val="Hyperlink"/>
          </w:rPr>
          <w:t xml:space="preserve">ea.com</w:t>
        </w:r>
      </w:hyperlink>
      <w:r>
        <w:t xml:space="preserve">)</w:t>
      </w:r>
    </w:p>
    <w:p>
      <w:pPr>
        <w:pStyle w:val="FirstParagraph"/>
      </w:pPr>
      <w:r>
        <w:t xml:space="preserve">That makes forward commentary more useful than the reported Q1 contribution. College Football 27’s early sales, Ultimate Team activity and expansion to PC and mobile could influence expectations for fiscal Q2. EA’s July 9 launch announcement described it as the franchise’s first PC and mobile release, expanding its addressable audience. (</w:t>
      </w:r>
      <w:hyperlink r:id="rId25">
        <w:r>
          <w:rPr>
            <w:rStyle w:val="Hyperlink"/>
          </w:rPr>
          <w:t xml:space="preserve">news.ea.com</w:t>
        </w:r>
      </w:hyperlink>
      <w:r>
        <w:t xml:space="preserve">)</w:t>
      </w:r>
    </w:p>
    <w:p>
      <w:pPr>
        <w:pStyle w:val="BodyText"/>
      </w:pPr>
      <w:r>
        <w:t xml:space="preserve">Investors should listen for:</w:t>
      </w:r>
    </w:p>
    <w:p>
      <w:pPr>
        <w:pStyle w:val="Compact"/>
        <w:numPr>
          <w:ilvl w:val="0"/>
          <w:numId w:val="1008"/>
        </w:numPr>
      </w:pPr>
      <w:r>
        <w:t xml:space="preserve">whether College Football 27 is tracking ahead of or below the prior installment;</w:t>
      </w:r>
    </w:p>
    <w:p>
      <w:pPr>
        <w:pStyle w:val="Compact"/>
        <w:numPr>
          <w:ilvl w:val="0"/>
          <w:numId w:val="1008"/>
        </w:numPr>
      </w:pPr>
      <w:r>
        <w:t xml:space="preserve">the economics of the new MVP+ membership and cross-title bundle;</w:t>
      </w:r>
    </w:p>
    <w:p>
      <w:pPr>
        <w:pStyle w:val="Compact"/>
        <w:numPr>
          <w:ilvl w:val="0"/>
          <w:numId w:val="1008"/>
        </w:numPr>
      </w:pPr>
      <w:r>
        <w:t xml:space="preserve">Madden preorder trends;</w:t>
      </w:r>
    </w:p>
    <w:p>
      <w:pPr>
        <w:pStyle w:val="Compact"/>
        <w:numPr>
          <w:ilvl w:val="0"/>
          <w:numId w:val="1008"/>
        </w:numPr>
      </w:pPr>
      <w:r>
        <w:t xml:space="preserve">whether the sports portfolio is producing incremental spending or merely shifting purchases between products.</w:t>
      </w:r>
    </w:p>
    <w:p>
      <w:r>
        <w:pict>
          <v:rect style="width:0;height:1.5pt" o:hralign="center" o:hrstd="t" o:hr="t"/>
        </w:pict>
      </w:r>
    </w:p>
    <w:bookmarkEnd w:id="26"/>
    <w:bookmarkEnd w:id="27"/>
    <w:bookmarkStart w:id="28" w:name="X84f0933b0fcdd0e7339a2daf252ae130c8ebf9f"/>
    <w:p>
      <w:pPr>
        <w:pStyle w:val="Heading2"/>
      </w:pPr>
      <w:r>
        <w:t xml:space="preserve">Financial quality: bookings matter more than GAAP revenue</w:t>
      </w:r>
    </w:p>
    <w:p>
      <w:pPr>
        <w:pStyle w:val="FirstParagraph"/>
      </w:pPr>
      <w:r>
        <w:t xml:space="preserve">EA’s FY2026 performance was strong at the bookings and cash-flow level but more mixed on the income statement: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FY2026 metric</w:t>
            </w:r>
          </w:p>
        </w:tc>
        <w:tc>
          <w:tcPr/>
          <w:p>
            <w:pPr>
              <w:pStyle w:val="Compact"/>
              <w:jc w:val="right"/>
            </w:pPr>
            <w:r>
              <w:t xml:space="preserve">Result</w:t>
            </w:r>
          </w:p>
        </w:tc>
        <w:tc>
          <w:tcPr/>
          <w:p>
            <w:pPr>
              <w:pStyle w:val="Compact"/>
              <w:jc w:val="right"/>
            </w:pPr>
            <w:r>
              <w:t xml:space="preserve">YoY</w:t>
            </w:r>
          </w:p>
        </w:tc>
      </w:tr>
      <w:tr>
        <w:tc>
          <w:tcPr/>
          <w:p>
            <w:pPr>
              <w:pStyle w:val="Compact"/>
            </w:pPr>
            <w:r>
              <w:t xml:space="preserve">Net bookings</w:t>
            </w:r>
          </w:p>
        </w:tc>
        <w:tc>
          <w:tcPr/>
          <w:p>
            <w:pPr>
              <w:pStyle w:val="Compact"/>
              <w:jc w:val="right"/>
            </w:pPr>
            <w:r>
              <w:t xml:space="preserve">$8.026B</w:t>
            </w:r>
          </w:p>
        </w:tc>
        <w:tc>
          <w:tcPr/>
          <w:p>
            <w:pPr>
              <w:pStyle w:val="Compact"/>
              <w:jc w:val="right"/>
            </w:pPr>
            <w:r>
              <w:rPr>
                <w:b/>
                <w:bCs/>
              </w:rPr>
              <w:t xml:space="preserve">+9%</w:t>
            </w:r>
          </w:p>
        </w:tc>
      </w:tr>
      <w:tr>
        <w:tc>
          <w:tcPr/>
          <w:p>
            <w:pPr>
              <w:pStyle w:val="Compact"/>
            </w:pPr>
            <w:r>
              <w:t xml:space="preserve">GAAP revenue</w:t>
            </w:r>
          </w:p>
        </w:tc>
        <w:tc>
          <w:tcPr/>
          <w:p>
            <w:pPr>
              <w:pStyle w:val="Compact"/>
              <w:jc w:val="right"/>
            </w:pPr>
            <w:r>
              <w:t xml:space="preserve">$7.531B</w:t>
            </w:r>
          </w:p>
        </w:tc>
        <w:tc>
          <w:tcPr/>
          <w:p>
            <w:pPr>
              <w:pStyle w:val="Compact"/>
              <w:jc w:val="right"/>
            </w:pPr>
            <w:r>
              <w:rPr>
                <w:b/>
                <w:bCs/>
              </w:rPr>
              <w:t xml:space="preserve">+1%</w:t>
            </w:r>
          </w:p>
        </w:tc>
      </w:tr>
      <w:tr>
        <w:tc>
          <w:tcPr/>
          <w:p>
            <w:pPr>
              <w:pStyle w:val="Compact"/>
            </w:pPr>
            <w:r>
              <w:t xml:space="preserve">Operating cash flow</w:t>
            </w:r>
          </w:p>
        </w:tc>
        <w:tc>
          <w:tcPr/>
          <w:p>
            <w:pPr>
              <w:pStyle w:val="Compact"/>
              <w:jc w:val="right"/>
            </w:pPr>
            <w:r>
              <w:t xml:space="preserve">$2.553B</w:t>
            </w:r>
          </w:p>
        </w:tc>
        <w:tc>
          <w:tcPr/>
          <w:p>
            <w:pPr>
              <w:pStyle w:val="Compact"/>
              <w:jc w:val="right"/>
            </w:pPr>
            <w:r>
              <w:rPr>
                <w:b/>
                <w:bCs/>
              </w:rPr>
              <w:t xml:space="preserve">+23%</w:t>
            </w:r>
          </w:p>
        </w:tc>
      </w:tr>
      <w:tr>
        <w:tc>
          <w:tcPr/>
          <w:p>
            <w:pPr>
              <w:pStyle w:val="Compact"/>
            </w:pPr>
            <w:r>
              <w:t xml:space="preserve">GAAP operating income</w:t>
            </w:r>
          </w:p>
        </w:tc>
        <w:tc>
          <w:tcPr/>
          <w:p>
            <w:pPr>
              <w:pStyle w:val="Compact"/>
              <w:jc w:val="right"/>
            </w:pPr>
            <w:r>
              <w:t xml:space="preserve">$1.162B</w:t>
            </w:r>
          </w:p>
        </w:tc>
        <w:tc>
          <w:tcPr/>
          <w:p>
            <w:pPr>
              <w:pStyle w:val="Compact"/>
              <w:jc w:val="right"/>
            </w:pPr>
            <w:r>
              <w:rPr>
                <w:b/>
                <w:bCs/>
              </w:rPr>
              <w:t xml:space="preserve">-24%</w:t>
            </w:r>
          </w:p>
        </w:tc>
      </w:tr>
      <w:tr>
        <w:tc>
          <w:tcPr/>
          <w:p>
            <w:pPr>
              <w:pStyle w:val="Compact"/>
            </w:pPr>
            <w:r>
              <w:t xml:space="preserve">GAAP diluted EPS</w:t>
            </w:r>
          </w:p>
        </w:tc>
        <w:tc>
          <w:tcPr/>
          <w:p>
            <w:pPr>
              <w:pStyle w:val="Compact"/>
              <w:jc w:val="right"/>
            </w:pPr>
            <w:r>
              <w:t xml:space="preserve">$3.51</w:t>
            </w:r>
          </w:p>
        </w:tc>
        <w:tc>
          <w:tcPr/>
          <w:p>
            <w:pPr>
              <w:pStyle w:val="Compact"/>
              <w:jc w:val="right"/>
            </w:pPr>
            <w:r>
              <w:t xml:space="preserve">Down from $4.25</w:t>
            </w:r>
          </w:p>
        </w:tc>
      </w:tr>
    </w:tbl>
    <w:p>
      <w:pPr>
        <w:pStyle w:val="BodyText"/>
      </w:pPr>
      <w:r>
        <w:t xml:space="preserve">Research and development expense rose 10%, while marketing and sales expense increased 17%, largely reflecting studio investment and the Battlefield 6 launch. (</w:t>
      </w:r>
      <w:hyperlink r:id="rId17">
        <w:r>
          <w:rPr>
            <w:rStyle w:val="Hyperlink"/>
          </w:rPr>
          <w:t xml:space="preserve">ir.ea.com</w:t>
        </w:r>
      </w:hyperlink>
      <w:r>
        <w:t xml:space="preserve">)</w:t>
      </w:r>
    </w:p>
    <w:p>
      <w:pPr>
        <w:pStyle w:val="BodyText"/>
      </w:pPr>
      <w:r>
        <w:t xml:space="preserve">For Q1, the most useful measures will be:</w:t>
      </w:r>
    </w:p>
    <w:p>
      <w:pPr>
        <w:pStyle w:val="Compact"/>
        <w:numPr>
          <w:ilvl w:val="0"/>
          <w:numId w:val="1009"/>
        </w:numPr>
      </w:pPr>
      <w:r>
        <w:rPr>
          <w:b/>
          <w:bCs/>
        </w:rPr>
        <w:t xml:space="preserve">Net bookings:</w:t>
      </w:r>
      <w:r>
        <w:t xml:space="preserve"> </w:t>
      </w:r>
      <w:r>
        <w:t xml:space="preserve">the clearest indicator of current player spending.</w:t>
      </w:r>
    </w:p>
    <w:p>
      <w:pPr>
        <w:pStyle w:val="Compact"/>
        <w:numPr>
          <w:ilvl w:val="0"/>
          <w:numId w:val="1009"/>
        </w:numPr>
      </w:pPr>
      <w:r>
        <w:rPr>
          <w:b/>
          <w:bCs/>
        </w:rPr>
        <w:t xml:space="preserve">Live-service bookings:</w:t>
      </w:r>
      <w:r>
        <w:t xml:space="preserve"> </w:t>
      </w:r>
      <w:r>
        <w:t xml:space="preserve">especially Battlefield, Apex and Ultimate Team.</w:t>
      </w:r>
    </w:p>
    <w:p>
      <w:pPr>
        <w:pStyle w:val="Compact"/>
        <w:numPr>
          <w:ilvl w:val="0"/>
          <w:numId w:val="1009"/>
        </w:numPr>
      </w:pPr>
      <w:r>
        <w:rPr>
          <w:b/>
          <w:bCs/>
        </w:rPr>
        <w:t xml:space="preserve">Deferred-revenue movement:</w:t>
      </w:r>
      <w:r>
        <w:t xml:space="preserve"> </w:t>
      </w:r>
      <w:r>
        <w:t xml:space="preserve">this can create a large difference between bookings and reported revenue.</w:t>
      </w:r>
    </w:p>
    <w:p>
      <w:pPr>
        <w:pStyle w:val="Compact"/>
        <w:numPr>
          <w:ilvl w:val="0"/>
          <w:numId w:val="1009"/>
        </w:numPr>
      </w:pPr>
      <w:r>
        <w:rPr>
          <w:b/>
          <w:bCs/>
        </w:rPr>
        <w:t xml:space="preserve">Operating expenses:</w:t>
      </w:r>
      <w:r>
        <w:t xml:space="preserve"> </w:t>
      </w:r>
      <w:r>
        <w:t xml:space="preserve">particularly whether spending remains elevated after Battlefield’s launch.</w:t>
      </w:r>
    </w:p>
    <w:p>
      <w:pPr>
        <w:pStyle w:val="Compact"/>
        <w:numPr>
          <w:ilvl w:val="0"/>
          <w:numId w:val="1009"/>
        </w:numPr>
      </w:pPr>
      <w:r>
        <w:rPr>
          <w:b/>
          <w:bCs/>
        </w:rPr>
        <w:t xml:space="preserve">Operating cash flow:</w:t>
      </w:r>
      <w:r>
        <w:t xml:space="preserve"> </w:t>
      </w:r>
      <w:r>
        <w:t xml:space="preserve">normally seasonally light in Q1, so year-over-year direction matters more than the absolute number.</w:t>
      </w:r>
    </w:p>
    <w:p>
      <w:pPr>
        <w:pStyle w:val="FirstParagraph"/>
      </w:pPr>
      <w:r>
        <w:t xml:space="preserve">An earnings miss caused primarily by revenue-recognition timing would be less concerning than a bookings miss caused by weaker player spending.</w:t>
      </w:r>
    </w:p>
    <w:p>
      <w:r>
        <w:pict>
          <v:rect style="width:0;height:1.5pt" o:hralign="center" o:hrstd="t" o:hr="t"/>
        </w:pict>
      </w:r>
    </w:p>
    <w:bookmarkEnd w:id="28"/>
    <w:bookmarkStart w:id="33" w:name="potential-outcomes"/>
    <w:p>
      <w:pPr>
        <w:pStyle w:val="Heading2"/>
      </w:pPr>
      <w:r>
        <w:t xml:space="preserve">Potential outcomes</w:t>
      </w:r>
    </w:p>
    <w:bookmarkStart w:id="29" w:name="bull-case"/>
    <w:p>
      <w:pPr>
        <w:pStyle w:val="Heading3"/>
      </w:pPr>
      <w:r>
        <w:t xml:space="preserve">Bull case</w:t>
      </w:r>
    </w:p>
    <w:p>
      <w:pPr>
        <w:pStyle w:val="Compact"/>
        <w:numPr>
          <w:ilvl w:val="0"/>
          <w:numId w:val="1010"/>
        </w:numPr>
      </w:pPr>
      <w:r>
        <w:t xml:space="preserve">EA provides a definitive, near-term merger closing date.</w:t>
      </w:r>
    </w:p>
    <w:p>
      <w:pPr>
        <w:pStyle w:val="Compact"/>
        <w:numPr>
          <w:ilvl w:val="0"/>
          <w:numId w:val="1010"/>
        </w:numPr>
      </w:pPr>
      <w:r>
        <w:t xml:space="preserve">Remaining regulatory approvals are complete or nearly complete.</w:t>
      </w:r>
    </w:p>
    <w:p>
      <w:pPr>
        <w:pStyle w:val="Compact"/>
        <w:numPr>
          <w:ilvl w:val="0"/>
          <w:numId w:val="1010"/>
        </w:numPr>
      </w:pPr>
      <w:r>
        <w:t xml:space="preserve">Battlefield 6 retains a healthy live-service audience.</w:t>
      </w:r>
    </w:p>
    <w:p>
      <w:pPr>
        <w:pStyle w:val="Compact"/>
        <w:numPr>
          <w:ilvl w:val="0"/>
          <w:numId w:val="1010"/>
        </w:numPr>
      </w:pPr>
      <w:r>
        <w:t xml:space="preserve">Apex remains in double-digit bookings growth.</w:t>
      </w:r>
    </w:p>
    <w:p>
      <w:pPr>
        <w:pStyle w:val="Compact"/>
        <w:numPr>
          <w:ilvl w:val="0"/>
          <w:numId w:val="1010"/>
        </w:numPr>
      </w:pPr>
      <w:r>
        <w:t xml:space="preserve">Global football continues to expand.</w:t>
      </w:r>
    </w:p>
    <w:p>
      <w:pPr>
        <w:pStyle w:val="Compact"/>
        <w:numPr>
          <w:ilvl w:val="0"/>
          <w:numId w:val="1010"/>
        </w:numPr>
      </w:pPr>
      <w:r>
        <w:t xml:space="preserve">College Football 27 launches strongly.</w:t>
      </w:r>
    </w:p>
    <w:p>
      <w:pPr>
        <w:pStyle w:val="FirstParagraph"/>
      </w:pPr>
      <w:r>
        <w:rPr>
          <w:b/>
          <w:bCs/>
        </w:rPr>
        <w:t xml:space="preserve">Likely stock implication:</w:t>
      </w:r>
      <w:r>
        <w:t xml:space="preserve"> </w:t>
      </w:r>
      <w:r>
        <w:t xml:space="preserve">the spread compresses toward the $210 consideration, but upside remains capped near the deal price.</w:t>
      </w:r>
    </w:p>
    <w:bookmarkEnd w:id="29"/>
    <w:bookmarkStart w:id="30" w:name="base-case"/>
    <w:p>
      <w:pPr>
        <w:pStyle w:val="Heading3"/>
      </w:pPr>
      <w:r>
        <w:t xml:space="preserve">Base case</w:t>
      </w:r>
    </w:p>
    <w:p>
      <w:pPr>
        <w:pStyle w:val="Compact"/>
        <w:numPr>
          <w:ilvl w:val="0"/>
          <w:numId w:val="1011"/>
        </w:numPr>
      </w:pPr>
      <w:r>
        <w:t xml:space="preserve">Q1 results are roughly stable to modestly higher year over year.</w:t>
      </w:r>
    </w:p>
    <w:p>
      <w:pPr>
        <w:pStyle w:val="Compact"/>
        <w:numPr>
          <w:ilvl w:val="0"/>
          <w:numId w:val="1011"/>
        </w:numPr>
      </w:pPr>
      <w:r>
        <w:t xml:space="preserve">Battlefield and Apex momentum broadly continues.</w:t>
      </w:r>
    </w:p>
    <w:p>
      <w:pPr>
        <w:pStyle w:val="Compact"/>
        <w:numPr>
          <w:ilvl w:val="0"/>
          <w:numId w:val="1011"/>
        </w:numPr>
      </w:pPr>
      <w:r>
        <w:t xml:space="preserve">EA offers little new financial guidance.</w:t>
      </w:r>
    </w:p>
    <w:p>
      <w:pPr>
        <w:pStyle w:val="Compact"/>
        <w:numPr>
          <w:ilvl w:val="0"/>
          <w:numId w:val="1011"/>
        </w:numPr>
      </w:pPr>
      <w:r>
        <w:t xml:space="preserve">Management repeats that the parties are working toward closing without giving a precise date.</w:t>
      </w:r>
    </w:p>
    <w:p>
      <w:pPr>
        <w:pStyle w:val="FirstParagraph"/>
      </w:pPr>
      <w:r>
        <w:rPr>
          <w:b/>
          <w:bCs/>
        </w:rPr>
        <w:t xml:space="preserve">Likely stock implication:</w:t>
      </w:r>
      <w:r>
        <w:t xml:space="preserve"> </w:t>
      </w:r>
      <w:r>
        <w:t xml:space="preserve">limited reaction, with EA continuing to trade as a merger-arbitrage position.</w:t>
      </w:r>
    </w:p>
    <w:bookmarkEnd w:id="30"/>
    <w:bookmarkStart w:id="32" w:name="bear-case"/>
    <w:p>
      <w:pPr>
        <w:pStyle w:val="Heading3"/>
      </w:pPr>
      <w:r>
        <w:t xml:space="preserve">Bear case</w:t>
      </w:r>
    </w:p>
    <w:p>
      <w:pPr>
        <w:pStyle w:val="Compact"/>
        <w:numPr>
          <w:ilvl w:val="0"/>
          <w:numId w:val="1012"/>
        </w:numPr>
      </w:pPr>
      <w:r>
        <w:t xml:space="preserve">The merger timeline is pushed closer to or beyond September 28.</w:t>
      </w:r>
    </w:p>
    <w:p>
      <w:pPr>
        <w:pStyle w:val="Compact"/>
        <w:numPr>
          <w:ilvl w:val="0"/>
          <w:numId w:val="1012"/>
        </w:numPr>
      </w:pPr>
      <w:r>
        <w:t xml:space="preserve">EA identifies an unresolved regulatory or national-security issue.</w:t>
      </w:r>
    </w:p>
    <w:p>
      <w:pPr>
        <w:pStyle w:val="Compact"/>
        <w:numPr>
          <w:ilvl w:val="0"/>
          <w:numId w:val="1012"/>
        </w:numPr>
      </w:pPr>
      <w:r>
        <w:t xml:space="preserve">Battlefield monetization falls faster than expected.</w:t>
      </w:r>
    </w:p>
    <w:p>
      <w:pPr>
        <w:pStyle w:val="Compact"/>
        <w:numPr>
          <w:ilvl w:val="0"/>
          <w:numId w:val="1012"/>
        </w:numPr>
      </w:pPr>
      <w:r>
        <w:t xml:space="preserve">Apex’s recovery reverses.</w:t>
      </w:r>
    </w:p>
    <w:p>
      <w:pPr>
        <w:pStyle w:val="Compact"/>
        <w:numPr>
          <w:ilvl w:val="0"/>
          <w:numId w:val="1012"/>
        </w:numPr>
      </w:pPr>
      <w:r>
        <w:t xml:space="preserve">Live-service bookings decline despite a favorable portfolio comparison.</w:t>
      </w:r>
    </w:p>
    <w:p>
      <w:pPr>
        <w:pStyle w:val="Compact"/>
        <w:numPr>
          <w:ilvl w:val="0"/>
          <w:numId w:val="1012"/>
        </w:numPr>
      </w:pPr>
      <w:r>
        <w:t xml:space="preserve">Expense growth continues to outpace underlying revenue.</w:t>
      </w:r>
    </w:p>
    <w:p>
      <w:pPr>
        <w:pStyle w:val="FirstParagraph"/>
      </w:pPr>
      <w:r>
        <w:rPr>
          <w:b/>
          <w:bCs/>
        </w:rPr>
        <w:t xml:space="preserve">Likely stock implication:</w:t>
      </w:r>
      <w:r>
        <w:t xml:space="preserve"> </w:t>
      </w:r>
      <w:r>
        <w:t xml:space="preserve">modest operating weakness alone may be absorbed by the deal. Material transaction uncertainty could cause a much larger decline because the remaining upside is only about 0.5%, while the downside in a broken-deal scenario would be substantially greater.</w:t>
      </w:r>
    </w:p>
    <w:p>
      <w:pPr>
        <w:pStyle w:val="BodyText"/>
      </w:pPr>
      <w:r>
        <w:t xml:space="preserve">For context, EA traded at</w:t>
      </w:r>
      <w:r>
        <w:t xml:space="preserve"> </w:t>
      </w:r>
      <w:r>
        <w:rPr>
          <w:b/>
          <w:bCs/>
        </w:rPr>
        <w:t xml:space="preserve">$168.32</w:t>
      </w:r>
      <w:r>
        <w:t xml:space="preserve"> </w:t>
      </w:r>
      <w:r>
        <w:t xml:space="preserve">on September 25, 2025, the last unaffected trading day before reports of the transaction. That is not necessarily current standalone fair value—EA subsequently delivered a record bookings year—but it illustrates the asymmetry facing merger-arbitrage investors. (</w:t>
      </w:r>
      <w:hyperlink r:id="rId31">
        <w:r>
          <w:rPr>
            <w:rStyle w:val="Hyperlink"/>
          </w:rPr>
          <w:t xml:space="preserve">sec.gov</w:t>
        </w:r>
      </w:hyperlink>
      <w:r>
        <w:t xml:space="preserve">)</w:t>
      </w:r>
    </w:p>
    <w:p>
      <w:r>
        <w:pict>
          <v:rect style="width:0;height:1.5pt" o:hralign="center" o:hrstd="t" o:hr="t"/>
        </w:pict>
      </w:r>
    </w:p>
    <w:bookmarkEnd w:id="32"/>
    <w:bookmarkEnd w:id="33"/>
    <w:bookmarkStart w:id="34" w:name="bottom-line"/>
    <w:p>
      <w:pPr>
        <w:pStyle w:val="Heading2"/>
      </w:pPr>
      <w:r>
        <w:t xml:space="preserve">Bottom line</w:t>
      </w:r>
    </w:p>
    <w:p>
      <w:pPr>
        <w:pStyle w:val="FirstParagraph"/>
      </w:pPr>
      <w:r>
        <w:t xml:space="preserve">This report should be evaluated in two layers:</w:t>
      </w:r>
    </w:p>
    <w:p>
      <w:pPr>
        <w:pStyle w:val="Compact"/>
        <w:numPr>
          <w:ilvl w:val="0"/>
          <w:numId w:val="1013"/>
        </w:numPr>
      </w:pPr>
      <w:r>
        <w:rPr>
          <w:b/>
          <w:bCs/>
        </w:rPr>
        <w:t xml:space="preserve">Is the $210 acquisition on track to close imminently?</w:t>
      </w:r>
    </w:p>
    <w:p>
      <w:pPr>
        <w:pStyle w:val="Compact"/>
        <w:numPr>
          <w:ilvl w:val="0"/>
          <w:numId w:val="1013"/>
        </w:numPr>
      </w:pPr>
      <w:r>
        <w:rPr>
          <w:b/>
          <w:bCs/>
        </w:rPr>
        <w:t xml:space="preserve">Is EA preserving the operating momentum that would support the shares if the deal is delayed or fails?</w:t>
      </w:r>
    </w:p>
    <w:p>
      <w:pPr>
        <w:pStyle w:val="FirstParagraph"/>
      </w:pPr>
      <w:r>
        <w:t xml:space="preserve">The first question will dominate the immediate stock reaction. With only</w:t>
      </w:r>
      <w:r>
        <w:t xml:space="preserve"> </w:t>
      </w:r>
      <w:r>
        <w:rPr>
          <w:b/>
          <w:bCs/>
        </w:rPr>
        <w:t xml:space="preserve">$1.09 per share of gross deal upside</w:t>
      </w:r>
      <w:r>
        <w:t xml:space="preserve"> </w:t>
      </w:r>
      <w:r>
        <w:t xml:space="preserve">remaining, investors are accepting significant downside asymmetry for a small prospective return. A clear closing timetable could make that trade work quickly; another nonspecific regulatory update would make the risk/reward less attractive.</w:t>
      </w:r>
    </w:p>
    <w:p>
      <w:pPr>
        <w:pStyle w:val="BodyText"/>
      </w:pPr>
      <w:r>
        <w:t xml:space="preserve">Operationally, the cleanest positive read would be continued growth across</w:t>
      </w:r>
      <w:r>
        <w:t xml:space="preserve"> </w:t>
      </w:r>
      <w:r>
        <w:rPr>
          <w:b/>
          <w:bCs/>
        </w:rPr>
        <w:t xml:space="preserve">Battlefield 6, Apex Legends and global football</w:t>
      </w:r>
      <w:r>
        <w:t xml:space="preserve">, followed by strong early indicators for College Football 27. But unless the results alter the probability of the acquisition closing, this is unlikely to behave like a normal earnings event.</w:t>
      </w:r>
    </w:p>
    <w:bookmarkEnd w:id="34"/>
    <w:bookmarkEnd w:id="3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ca.marketscreener.com/news/saudi-pif-s-55-billion-ea-deal-approved-under-eu-merger-rules-ce7f51deda8ff625?utm_source=openai" TargetMode="External" /><Relationship Type="http://schemas.openxmlformats.org/officeDocument/2006/relationships/hyperlink" Id="rId13" Target="https://ir.ea.com/press-releases/press-release-details/2025/Electronic-Arts-Reports-Q1-FY26-Results/default.aspx?utm_source=openai" TargetMode="External" /><Relationship Type="http://schemas.openxmlformats.org/officeDocument/2006/relationships/hyperlink" Id="rId15" Target="https://ir.ea.com/press-releases/press-release-details/2026/EA-to-Release-Fourth-Quarter-and-Fiscal-Year-End-2026-Results-on-May-5-2026/default.aspx?utm_source=openai" TargetMode="External" /><Relationship Type="http://schemas.openxmlformats.org/officeDocument/2006/relationships/hyperlink" Id="rId17" Target="https://ir.ea.com/press-releases/press-release-details/2026/Electronic-Arts-Reports-Q4-and-FY26-Results/default.aspx?utm_source=openai" TargetMode="External" /><Relationship Type="http://schemas.openxmlformats.org/officeDocument/2006/relationships/hyperlink" Id="rId25" Target="https://news.ea.com/press-releases/press-releases-details/2026/EA-SPORTS-College-Football-27-Launches-Worldwide-Bringing-New-Era-of-College-Football-to-Life/default.aspx?utm_source=openai" TargetMode="External" /><Relationship Type="http://schemas.openxmlformats.org/officeDocument/2006/relationships/hyperlink" Id="rId20" Target="https://www.ea.com/games/apex-legends/apex-legends/news/overclocked-patch-notes?utm_source=openai" TargetMode="External" /><Relationship Type="http://schemas.openxmlformats.org/officeDocument/2006/relationships/hyperlink" Id="rId18" Target="https://www.ea.com/games/battlefield/battlefield-6/news/battlefield-6-game-update-1-3-2-0?utm_source=openai" TargetMode="External" /><Relationship Type="http://schemas.openxmlformats.org/officeDocument/2006/relationships/hyperlink" Id="rId24" Target="https://www.ea.com/games/ea-sports-college-football/news/welcome-to-college-football-27?utm_source=openai" TargetMode="External" /><Relationship Type="http://schemas.openxmlformats.org/officeDocument/2006/relationships/hyperlink" Id="rId22" Target="https://www.ea.com/games/ea-sports-fc/fc-27/news/fc-27-editions-and-release-dates?utm_source=openai" TargetMode="External" /><Relationship Type="http://schemas.openxmlformats.org/officeDocument/2006/relationships/hyperlink" Id="rId31" Target="https://www.sec.gov/Archives/edgar/data/712515/000114036125036415/ef20056167_ex99-1.htm?utm_source=openai" TargetMode="External" /><Relationship Type="http://schemas.openxmlformats.org/officeDocument/2006/relationships/hyperlink" Id="rId10" Target="https://www.sec.gov/Archives/edgar/data/712515/000162828025047811/ea-20250930.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11" Target="https://ca.marketscreener.com/news/saudi-pif-s-55-billion-ea-deal-approved-under-eu-merger-rules-ce7f51deda8ff625?utm_source=openai" TargetMode="External" /><Relationship Type="http://schemas.openxmlformats.org/officeDocument/2006/relationships/hyperlink" Id="rId13" Target="https://ir.ea.com/press-releases/press-release-details/2025/Electronic-Arts-Reports-Q1-FY26-Results/default.aspx?utm_source=openai" TargetMode="External" /><Relationship Type="http://schemas.openxmlformats.org/officeDocument/2006/relationships/hyperlink" Id="rId15" Target="https://ir.ea.com/press-releases/press-release-details/2026/EA-to-Release-Fourth-Quarter-and-Fiscal-Year-End-2026-Results-on-May-5-2026/default.aspx?utm_source=openai" TargetMode="External" /><Relationship Type="http://schemas.openxmlformats.org/officeDocument/2006/relationships/hyperlink" Id="rId17" Target="https://ir.ea.com/press-releases/press-release-details/2026/Electronic-Arts-Reports-Q4-and-FY26-Results/default.aspx?utm_source=openai" TargetMode="External" /><Relationship Type="http://schemas.openxmlformats.org/officeDocument/2006/relationships/hyperlink" Id="rId25" Target="https://news.ea.com/press-releases/press-releases-details/2026/EA-SPORTS-College-Football-27-Launches-Worldwide-Bringing-New-Era-of-College-Football-to-Life/default.aspx?utm_source=openai" TargetMode="External" /><Relationship Type="http://schemas.openxmlformats.org/officeDocument/2006/relationships/hyperlink" Id="rId20" Target="https://www.ea.com/games/apex-legends/apex-legends/news/overclocked-patch-notes?utm_source=openai" TargetMode="External" /><Relationship Type="http://schemas.openxmlformats.org/officeDocument/2006/relationships/hyperlink" Id="rId18" Target="https://www.ea.com/games/battlefield/battlefield-6/news/battlefield-6-game-update-1-3-2-0?utm_source=openai" TargetMode="External" /><Relationship Type="http://schemas.openxmlformats.org/officeDocument/2006/relationships/hyperlink" Id="rId24" Target="https://www.ea.com/games/ea-sports-college-football/news/welcome-to-college-football-27?utm_source=openai" TargetMode="External" /><Relationship Type="http://schemas.openxmlformats.org/officeDocument/2006/relationships/hyperlink" Id="rId22" Target="https://www.ea.com/games/ea-sports-fc/fc-27/news/fc-27-editions-and-release-dates?utm_source=openai" TargetMode="External" /><Relationship Type="http://schemas.openxmlformats.org/officeDocument/2006/relationships/hyperlink" Id="rId31" Target="https://www.sec.gov/Archives/edgar/data/712515/000114036125036415/ef20056167_ex99-1.htm?utm_source=openai" TargetMode="External" /><Relationship Type="http://schemas.openxmlformats.org/officeDocument/2006/relationships/hyperlink" Id="rId10" Target="https://www.sec.gov/Archives/edgar/data/712515/000162828025047811/ea-20250930.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2026-07-29T01:55:21Z</dcterms:created>
  <dcterms:modified xsi:type="dcterms:W3CDTF">2026-07-29T01:55:21Z</dcterms:modified>
</cp:coreProperties>
</file>

<file path=docProps/custom.xml><?xml version="1.0" encoding="utf-8"?>
<Properties xmlns="http://schemas.openxmlformats.org/officeDocument/2006/custom-properties" xmlns:vt="http://schemas.openxmlformats.org/officeDocument/2006/docPropsVTypes"/>
</file>