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electronic-arts-nasdaq-ea--event-preview"/>
    <w:p>
      <w:pPr>
        <w:pStyle w:val="Heading1"/>
      </w:pPr>
      <w:r>
        <w:t xml:space="preserve">Electronic Arts (NASDAQ: EA) — Event Preview</w:t>
      </w:r>
    </w:p>
    <w:p>
      <w:pPr>
        <w:pStyle w:val="BlockText"/>
      </w:pPr>
      <w:r>
        <w:rPr>
          <w:b/>
          <w:bCs/>
        </w:rPr>
        <w:t xml:space="preserve">Important timing clarification: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Wednesday, July 29, 2026</w:t>
      </w:r>
      <w:r>
        <w:t xml:space="preserve">. The date referenced in the event calendar—</w:t>
      </w:r>
      <w:r>
        <w:rPr>
          <w:b/>
          <w:bCs/>
        </w:rPr>
        <w:t xml:space="preserve">July 29, 2026</w:t>
      </w:r>
      <w:r>
        <w:t xml:space="preserve">—is therefore</w:t>
      </w:r>
      <w:r>
        <w:t xml:space="preserve"> </w:t>
      </w:r>
      <w:r>
        <w:rPr>
          <w:b/>
          <w:bCs/>
        </w:rPr>
        <w:t xml:space="preserve">today, not tomorrow</w:t>
      </w:r>
      <w:r>
        <w:t xml:space="preserve">. More importantly, EA’s current situation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resemble a conventional earnings setup: the company remains subject to a pending all-cash take-private transaction, and the most recent company materials indicate that EA had suspended quarterly earnings calls while the deal is pending.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EA is primarily a merger-arbitrage/security-clearance story, not an earnings-expectations story.</w:t>
      </w:r>
      <w:r>
        <w:t xml:space="preserve"> </w:t>
      </w:r>
      <w:r>
        <w:t xml:space="preserve">The decisive variable for shareholders is whether—and when—the $210-per-share acquisition by a consortium led by Saudi Arabia’s Public Investment Fund, Silver Lake, and Affinity Partners closes.</w:t>
      </w:r>
    </w:p>
    <w:p>
      <w:pPr>
        <w:pStyle w:val="BodyText"/>
      </w:pPr>
      <w:r>
        <w:t xml:space="preserve">EA closed at</w:t>
      </w:r>
      <w:r>
        <w:t xml:space="preserve"> </w:t>
      </w:r>
      <m:oMath>
        <m:r>
          <m:t>208.91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28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j</m:t>
        </m:r>
        <m:r>
          <m:t>u</m:t>
        </m:r>
        <m:r>
          <m:t>s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1.09, or 0.5%, below</w:t>
      </w:r>
      <w:r>
        <w:t xml:space="preserve"> </w:t>
      </w:r>
      <w:r>
        <w:t xml:space="preserve">the agreed $210.00 cash consideration. That narrow spread implies the market assigns a high probability to closing, but also reflects the cost of time and the residual risk surrounding the remaining regulatory conditions. The originally anticipated closing window was EA’s fiscal Q1 FY27—</w:t>
      </w:r>
      <w:r>
        <w:rPr>
          <w:b/>
          <w:bCs/>
        </w:rPr>
        <w:t xml:space="preserve">April through June 2026</w:t>
      </w:r>
      <w:r>
        <w:t xml:space="preserve">—yet the transaction remains pending as of July 29. That delay, rather than near-term game sales or EPS, is the key item investors should focus on.</w:t>
      </w:r>
    </w:p>
    <w:bookmarkEnd w:id="9"/>
    <w:bookmarkStart w:id="10" w:name="Xd610a908c1d4c4473e0408ff332e61b10374275"/>
    <w:p>
      <w:pPr>
        <w:pStyle w:val="Heading2"/>
      </w:pPr>
      <w:r>
        <w:t xml:space="preserve">What investors should expect from the “earnings” event</w:t>
      </w:r>
    </w:p>
    <w:p>
      <w:pPr>
        <w:pStyle w:val="FirstParagraph"/>
      </w:pPr>
      <w:r>
        <w:t xml:space="preserve">There is</w:t>
      </w:r>
      <w:r>
        <w:t xml:space="preserve"> </w:t>
      </w:r>
      <w:r>
        <w:rPr>
          <w:b/>
          <w:bCs/>
        </w:rPr>
        <w:t xml:space="preserve">no recent EA earnings release, 8-K, or press release on file</w:t>
      </w:r>
      <w:r>
        <w:t xml:space="preserve"> </w:t>
      </w:r>
      <w:r>
        <w:t xml:space="preserve">confirming a standard July earnings release or conference call. In its May 5 Q4/FY26 release, EA specifically said it would</w:t>
      </w:r>
      <w:r>
        <w:t xml:space="preserve"> </w:t>
      </w:r>
      <w:r>
        <w:rPr>
          <w:b/>
          <w:bCs/>
        </w:rPr>
        <w:t xml:space="preserve">not host an earnings conference call</w:t>
      </w:r>
      <w:r>
        <w:t xml:space="preserve"> </w:t>
      </w:r>
      <w:r>
        <w:t xml:space="preserve">because of the pending transaction.</w:t>
      </w:r>
    </w:p>
    <w:p>
      <w:pPr>
        <w:pStyle w:val="BodyText"/>
      </w:pPr>
      <w:r>
        <w:t xml:space="preserve">Accordingly, the most relevant potential disclosures would be: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Merger-status language</w:t>
      </w:r>
    </w:p>
    <w:p>
      <w:pPr>
        <w:pStyle w:val="Compact"/>
        <w:numPr>
          <w:ilvl w:val="1"/>
          <w:numId w:val="1002"/>
        </w:numPr>
      </w:pPr>
      <w:r>
        <w:t xml:space="preserve">Which regulatory approvals remain outstanding.</w:t>
      </w:r>
    </w:p>
    <w:p>
      <w:pPr>
        <w:pStyle w:val="Compact"/>
        <w:numPr>
          <w:ilvl w:val="1"/>
          <w:numId w:val="1002"/>
        </w:numPr>
      </w:pPr>
      <w:r>
        <w:t xml:space="preserve">Whether the parties reaffirm a closing timetable.</w:t>
      </w:r>
    </w:p>
    <w:p>
      <w:pPr>
        <w:pStyle w:val="Compact"/>
        <w:numPr>
          <w:ilvl w:val="1"/>
          <w:numId w:val="1002"/>
        </w:numPr>
      </w:pPr>
      <w:r>
        <w:t xml:space="preserve">Any extension, amendment, remedy, or financing-related development.</w:t>
      </w:r>
    </w:p>
    <w:p>
      <w:pPr>
        <w:pStyle w:val="Compact"/>
        <w:numPr>
          <w:ilvl w:val="1"/>
          <w:numId w:val="1002"/>
        </w:numPr>
      </w:pPr>
      <w:r>
        <w:t xml:space="preserve">Whether the absence of an update itself signals a longer-than-expected regulatory path.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Whether EA reports a regular June-quarter financial package</w:t>
      </w:r>
    </w:p>
    <w:p>
      <w:pPr>
        <w:pStyle w:val="Compact"/>
        <w:numPr>
          <w:ilvl w:val="1"/>
          <w:numId w:val="1003"/>
        </w:numPr>
      </w:pPr>
      <w:r>
        <w:t xml:space="preserve">If it does, the market should expect limited forward-looking discussion, no conventional guidance framework, and potentially no call/Q&amp;A.</w:t>
      </w:r>
    </w:p>
    <w:p>
      <w:pPr>
        <w:pStyle w:val="Compact"/>
        <w:numPr>
          <w:ilvl w:val="1"/>
          <w:numId w:val="1003"/>
        </w:numPr>
      </w:pPr>
      <w:r>
        <w:t xml:space="preserve">A clean quarter is supportive of the merger’s “no material adverse effect” backdrop, but should not materially alter the $210 consideration.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A surprise change in corporate posture</w:t>
      </w:r>
    </w:p>
    <w:p>
      <w:pPr>
        <w:pStyle w:val="Compact"/>
        <w:numPr>
          <w:ilvl w:val="1"/>
          <w:numId w:val="1004"/>
        </w:numPr>
      </w:pPr>
      <w:r>
        <w:t xml:space="preserve">An update to the merger terms, termination rights, or timing would be far more consequential than a beat or miss against quarterly operating expectations.</w:t>
      </w:r>
    </w:p>
    <w:bookmarkEnd w:id="10"/>
    <w:bookmarkStart w:id="12" w:name="the-merger-is-the-valuation-anchor"/>
    <w:p>
      <w:pPr>
        <w:pStyle w:val="Heading2"/>
      </w:pPr>
      <w:r>
        <w:t xml:space="preserve">The merger is the valuation anchor</w:t>
      </w:r>
    </w:p>
    <w:p>
      <w:pPr>
        <w:pStyle w:val="FirstParagraph"/>
      </w:pPr>
      <w:r>
        <w:t xml:space="preserve">EA entered into a definitive agreement on</w:t>
      </w:r>
      <w:r>
        <w:t xml:space="preserve"> </w:t>
      </w:r>
      <w:r>
        <w:rPr>
          <w:b/>
          <w:bCs/>
        </w:rPr>
        <w:t xml:space="preserve">September 28, 2025</w:t>
      </w:r>
      <w:r>
        <w:t xml:space="preserve"> </w:t>
      </w:r>
      <w:r>
        <w:t xml:space="preserve">to be acquired for</w:t>
      </w:r>
      <w:r>
        <w:t xml:space="preserve"> </w:t>
      </w:r>
      <m:oMath>
        <m:r>
          <m:t>210.00</m:t>
        </m:r>
        <m:r>
          <m:t>p</m:t>
        </m:r>
        <m:r>
          <m:t>e</m:t>
        </m:r>
        <m:r>
          <m:t>r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i</m:t>
        </m:r>
        <m:r>
          <m:t>n</m:t>
        </m:r>
        <m:r>
          <m:t>c</m:t>
        </m:r>
        <m:r>
          <m:t>a</m:t>
        </m:r>
        <m:r>
          <m:t>s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i</m:t>
        </m:r>
        <m:r>
          <m:t>m</m:t>
        </m:r>
        <m:r>
          <m:t>p</m:t>
        </m:r>
        <m:r>
          <m:t>l</m:t>
        </m:r>
        <m:r>
          <m:t>y</m:t>
        </m:r>
        <m:r>
          <m:t>i</m:t>
        </m:r>
        <m:r>
          <m:t>n</m:t>
        </m:r>
        <m:r>
          <m:t>g</m:t>
        </m:r>
        <m:r>
          <m:t>a</m:t>
        </m:r>
        <m:r>
          <m:t>n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55 billion enterprise value</w:t>
      </w:r>
      <w:r>
        <w:t xml:space="preserve">. Stockholders approved the transaction in December 2025, and the U.S. Hart-Scott-Rodino waiting period expired on</w:t>
      </w:r>
      <w:r>
        <w:t xml:space="preserve"> </w:t>
      </w:r>
      <w:r>
        <w:rPr>
          <w:b/>
          <w:bCs/>
        </w:rPr>
        <w:t xml:space="preserve">February 9, 2026</w:t>
      </w:r>
      <w:r>
        <w:t xml:space="preserve">. At that point, EA said other regulatory clearances were still required and expected closing during the April–June 2026 period. That period has now elapsed without a disclosed closing.</w:t>
      </w:r>
    </w:p>
    <w:p>
      <w:pPr>
        <w:pStyle w:val="BodyText"/>
      </w:pPr>
      <w:r>
        <w:t xml:space="preserve">The</w:t>
      </w:r>
      <w:r>
        <w:t xml:space="preserve"> </w:t>
      </w:r>
      <m:oMath>
        <m:r>
          <m:t>208.91</m:t>
        </m:r>
        <m:r>
          <m:t>J</m:t>
        </m:r>
        <m:r>
          <m:t>u</m:t>
        </m:r>
        <m:r>
          <m:t>l</m:t>
        </m:r>
        <m:r>
          <m:t>y</m:t>
        </m:r>
        <m:r>
          <m:t>28</m:t>
        </m:r>
        <m:r>
          <m:t>c</m:t>
        </m:r>
        <m:r>
          <m:t>l</m:t>
        </m:r>
        <m:r>
          <m:t>o</m:t>
        </m:r>
        <m:r>
          <m:t>s</m:t>
        </m:r>
        <m:r>
          <m:t>i</m:t>
        </m:r>
        <m:r>
          <m:t>n</m:t>
        </m:r>
        <m:r>
          <m:t>g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i</m:t>
        </m:r>
        <m:r>
          <m:t>s</m:t>
        </m:r>
        <m:r>
          <m:t>t</m:t>
        </m:r>
        <m:r>
          <m:t>h</m:t>
        </m:r>
        <m:r>
          <m:t>e</m:t>
        </m:r>
        <m:r>
          <m:t>r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b</m:t>
        </m:r>
        <m:r>
          <m:t>e</m:t>
        </m:r>
        <m:r>
          <m:t>s</m:t>
        </m:r>
        <m:r>
          <m:t>t</m:t>
        </m:r>
        <m:r>
          <m:t>i</m:t>
        </m:r>
        <m:r>
          <m:t>n</m:t>
        </m:r>
        <m:r>
          <m:t>t</m:t>
        </m:r>
        <m:r>
          <m:t>e</m:t>
        </m:r>
        <m:r>
          <m:t>r</m:t>
        </m:r>
        <m:r>
          <m:t>p</m:t>
        </m:r>
        <m:r>
          <m:t>r</m:t>
        </m:r>
        <m:r>
          <m:t>e</m:t>
        </m:r>
        <m:r>
          <m:t>t</m:t>
        </m:r>
        <m:r>
          <m:t>e</m:t>
        </m:r>
        <m:r>
          <m:t>d</m:t>
        </m:r>
        <m:r>
          <m:t>a</m:t>
        </m:r>
        <m:r>
          <m:t>s</m:t>
        </m:r>
        <m:r>
          <m:t>t</m:t>
        </m:r>
        <m:r>
          <m:t>h</m:t>
        </m:r>
        <m:r>
          <m:t>e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rPr>
            <m:sty m:val="p"/>
          </m:rPr>
          <m:t>’</m:t>
        </m:r>
        <m:r>
          <m:t>s</m:t>
        </m:r>
        <m:r>
          <m:t>v</m:t>
        </m:r>
        <m:r>
          <m:t>i</m:t>
        </m:r>
        <m:r>
          <m:t>e</m:t>
        </m:r>
        <m:r>
          <m:t>w</m:t>
        </m:r>
        <m:r>
          <m:t>o</m:t>
        </m:r>
        <m:r>
          <m:t>f</m:t>
        </m:r>
        <m:r>
          <m:t>a</m:t>
        </m:r>
        <m:r>
          <m:t>n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c</m:t>
        </m:r>
        <m:r>
          <m:t>o</m:t>
        </m:r>
        <m:r>
          <m:t>m</m:t>
        </m:r>
        <m:r>
          <m:t>p</m:t>
        </m:r>
        <m:r>
          <m:t>l</m:t>
        </m:r>
        <m:r>
          <m:t>e</m:t>
        </m:r>
        <m:r>
          <m:t>t</m:t>
        </m:r>
        <m:r>
          <m:t>e</m:t>
        </m:r>
        <m:r>
          <m:t>d</m:t>
        </m:r>
        <m:r>
          <m:rPr>
            <m:sty m:val="p"/>
          </m:rPr>
          <m:t>—</m:t>
        </m:r>
        <m:r>
          <m:t>b</m:t>
        </m:r>
        <m:r>
          <m:t>u</m:t>
        </m:r>
        <m:r>
          <m:t>t</m:t>
        </m:r>
        <m:r>
          <m:t>n</m:t>
        </m:r>
        <m:r>
          <m:t>o</m:t>
        </m:r>
        <m:r>
          <m:t>t</m:t>
        </m:r>
        <m:r>
          <m:t>c</m:t>
        </m:r>
        <m:r>
          <m:t>o</m:t>
        </m:r>
        <m:r>
          <m:t>m</m:t>
        </m:r>
        <m:r>
          <m:t>p</m:t>
        </m:r>
        <m:r>
          <m:t>l</m:t>
        </m:r>
        <m:r>
          <m:t>e</m:t>
        </m:r>
        <m:r>
          <m:t>t</m:t>
        </m:r>
        <m:r>
          <m:t>e</m:t>
        </m:r>
        <m:r>
          <m:t>d</m:t>
        </m:r>
        <m:r>
          <m:rPr>
            <m:sty m:val="p"/>
          </m:rPr>
          <m:t>—</m:t>
        </m:r>
        <m:r>
          <m:t>t</m:t>
        </m:r>
        <m:r>
          <m:t>r</m:t>
        </m:r>
        <m:r>
          <m:t>a</m:t>
        </m:r>
        <m:r>
          <m:t>n</m:t>
        </m:r>
        <m:r>
          <m:t>s</m:t>
        </m:r>
        <m:r>
          <m:t>a</m:t>
        </m:r>
        <m:r>
          <m:t>c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.</m:t>
        </m:r>
        <m:r>
          <m:t>F</m:t>
        </m:r>
        <m:r>
          <m:t>o</m:t>
        </m:r>
        <m:r>
          <m:t>r</m:t>
        </m:r>
        <m:r>
          <m:t>a</m:t>
        </m:r>
        <m:r>
          <m:t>h</m:t>
        </m:r>
        <m:r>
          <m:t>o</m:t>
        </m:r>
        <m:r>
          <m:t>l</m:t>
        </m:r>
        <m:r>
          <m:t>d</m:t>
        </m:r>
        <m:r>
          <m:t>e</m:t>
        </m:r>
        <m:r>
          <m:t>r</m:t>
        </m:r>
        <m:r>
          <m:t>b</m:t>
        </m:r>
        <m:r>
          <m:t>u</m:t>
        </m:r>
        <m:r>
          <m:t>y</m:t>
        </m:r>
        <m:r>
          <m:t>i</m:t>
        </m:r>
        <m:r>
          <m:t>n</m:t>
        </m:r>
        <m:r>
          <m:t>g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t>n</m:t>
        </m:r>
        <m:r>
          <m:t>e</m:t>
        </m:r>
        <m:r>
          <m:t>a</m:t>
        </m:r>
        <m:r>
          <m:t>r</m:t>
        </m:r>
        <m:r>
          <m:t>t</m:t>
        </m:r>
        <m:r>
          <m:t>h</m:t>
        </m:r>
        <m:r>
          <m:t>a</m:t>
        </m:r>
        <m:r>
          <m:t>t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m</m:t>
        </m:r>
        <m:r>
          <m:t>a</m:t>
        </m:r>
        <m:r>
          <m:t>x</m:t>
        </m:r>
        <m:r>
          <m:t>i</m:t>
        </m:r>
        <m:r>
          <m:t>m</m:t>
        </m:r>
        <m:r>
          <m:t>u</m:t>
        </m:r>
        <m:r>
          <m:t>m</m:t>
        </m:r>
        <m:r>
          <m:t>n</m:t>
        </m:r>
        <m:r>
          <m:t>o</m:t>
        </m:r>
        <m:r>
          <m:t>m</m:t>
        </m:r>
        <m:r>
          <m:t>i</m:t>
        </m:r>
        <m:r>
          <m:t>n</m:t>
        </m:r>
        <m:r>
          <m:t>a</m:t>
        </m:r>
        <m:r>
          <m:t>l</m:t>
        </m:r>
        <m:r>
          <m:t>u</m:t>
        </m:r>
        <m:r>
          <m:t>p</m:t>
        </m:r>
        <m:r>
          <m:t>s</m:t>
        </m:r>
        <m:r>
          <m:t>i</m:t>
        </m:r>
        <m:r>
          <m:t>d</m:t>
        </m:r>
        <m:r>
          <m:t>e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a</m:t>
        </m:r>
        <m:r>
          <m:t>n</m:t>
        </m:r>
        <m:r>
          <m:t>n</m:t>
        </m:r>
        <m:r>
          <m:t>o</m:t>
        </m:r>
        <m:r>
          <m:t>u</m:t>
        </m:r>
        <m:r>
          <m:t>n</m:t>
        </m:r>
        <m:r>
          <m:t>c</m:t>
        </m:r>
        <m:r>
          <m:t>e</m:t>
        </m:r>
        <m:r>
          <m:t>d</m:t>
        </m:r>
        <m:r>
          <m:t>c</m:t>
        </m:r>
        <m:r>
          <m:t>o</m:t>
        </m:r>
        <m:r>
          <m:t>n</m:t>
        </m:r>
        <m:r>
          <m:t>s</m:t>
        </m:r>
        <m:r>
          <m:t>i</m:t>
        </m:r>
        <m:r>
          <m:t>d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i</m:t>
        </m:r>
        <m:r>
          <m:t>s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1.09 per share**, before considering the value of time, transaction costs, tax treatment, and downside if the deal fails.</w:t>
      </w:r>
    </w:p>
    <w:bookmarkStart w:id="11" w:name="investment-framing"/>
    <w:p>
      <w:pPr>
        <w:pStyle w:val="Heading3"/>
      </w:pPr>
      <w:r>
        <w:t xml:space="preserve">Investment framing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Scenario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Likely stock implication</w:t>
            </w:r>
          </w:p>
        </w:tc>
        <w:tc>
          <w:tcPr/>
          <w:p>
            <w:pPr>
              <w:pStyle w:val="Compact"/>
            </w:pPr>
            <w:r>
              <w:t xml:space="preserve">What matters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Clear regulatory update / prompt close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Modest move toward $210</w:t>
            </w:r>
          </w:p>
        </w:tc>
        <w:tc>
          <w:tcPr/>
          <w:p>
            <w:pPr>
              <w:pStyle w:val="Compact"/>
            </w:pPr>
            <w:r>
              <w:t xml:space="preserve">Timing and mechanics of cash payment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Reaffirmed deal but no timing clarity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Shares likely remain near the deal price</w:t>
            </w:r>
          </w:p>
        </w:tc>
        <w:tc>
          <w:tcPr/>
          <w:p>
            <w:pPr>
              <w:pStyle w:val="Compact"/>
            </w:pPr>
            <w:r>
              <w:t xml:space="preserve">Carry and opportunity cost become central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Further delay or adverse regulatory development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Spread likely widens</w:t>
            </w:r>
          </w:p>
        </w:tc>
        <w:tc>
          <w:tcPr/>
          <w:p>
            <w:pPr>
              <w:pStyle w:val="Compact"/>
            </w:pPr>
            <w:r>
              <w:t xml:space="preserve">Probability of closing and duration risk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Transaction termination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Material downside risk</w:t>
            </w:r>
          </w:p>
        </w:tc>
        <w:tc>
          <w:tcPr/>
          <w:p>
            <w:pPr>
              <w:pStyle w:val="Compact"/>
            </w:pPr>
            <w:r>
              <w:t xml:space="preserve">EA reverts to a standalone valuation based on game pipeline, live services, and margins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Strong/weak reported quarter with deal intact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Likely limited impact</w:t>
            </w:r>
          </w:p>
        </w:tc>
        <w:tc>
          <w:tcPr/>
          <w:p>
            <w:pPr>
              <w:pStyle w:val="Compact"/>
            </w:pPr>
            <w:r>
              <w:t xml:space="preserve">Only material if results affect deal certainty or reveal a major operational disruption</w:t>
            </w:r>
          </w:p>
        </w:tc>
      </w:tr>
    </w:tbl>
    <w:bookmarkEnd w:id="11"/>
    <w:bookmarkEnd w:id="12"/>
    <w:bookmarkStart w:id="13" w:name="Xa7d03fcbc60dece7e6ecac6b0dc904b0c3eaa2d"/>
    <w:p>
      <w:pPr>
        <w:pStyle w:val="Heading2"/>
      </w:pPr>
      <w:r>
        <w:t xml:space="preserve">Standalone business: healthy FY26 exit, but less important for the equity price today</w:t>
      </w:r>
    </w:p>
    <w:p>
      <w:pPr>
        <w:pStyle w:val="FirstParagraph"/>
      </w:pPr>
      <w:r>
        <w:t xml:space="preserve">EA’s operating backdrop entering the pending transaction was constructive. For FY26, EA reported: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Record net bookings of $8.03 billion</w:t>
      </w:r>
      <w:r>
        <w:t xml:space="preserve">, up 9% year over year.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GAAP revenue of $7.53 billion</w:t>
      </w:r>
      <w:r>
        <w:t xml:space="preserve">, up 1%.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Operating cash flow of $2.55 billion</w:t>
      </w:r>
      <w:r>
        <w:t xml:space="preserve">, up 23%.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Free cash flow of $2.32 billion</w:t>
      </w:r>
      <w:r>
        <w:t xml:space="preserve">, up 25%.</w:t>
      </w:r>
    </w:p>
    <w:p>
      <w:pPr>
        <w:pStyle w:val="Compact"/>
        <w:numPr>
          <w:ilvl w:val="0"/>
          <w:numId w:val="1005"/>
        </w:numPr>
      </w:pPr>
      <w:r>
        <w:t xml:space="preserve">Fiscal-year net income of</w:t>
      </w:r>
      <w:r>
        <w:t xml:space="preserve"> </w:t>
      </w:r>
      <w:r>
        <w:rPr>
          <w:b/>
          <w:bCs/>
        </w:rPr>
        <w:t xml:space="preserve">$887 million</w:t>
      </w:r>
      <w:r>
        <w:t xml:space="preserve">, down from $1.12 billion in FY25, reflecting a substantially higher investment and operating-expense base despite bookings growth.</w:t>
      </w:r>
    </w:p>
    <w:p>
      <w:pPr>
        <w:pStyle w:val="FirstParagraph"/>
      </w:pPr>
      <w:r>
        <w:t xml:space="preserve">Q4 FY26 was particularly strong: net revenue rose</w:t>
      </w:r>
      <w:r>
        <w:t xml:space="preserve"> </w:t>
      </w:r>
      <w:r>
        <w:rPr>
          <w:b/>
          <w:bCs/>
        </w:rPr>
        <w:t xml:space="preserve">12%</w:t>
      </w:r>
      <w:r>
        <w:t xml:space="preserve"> </w:t>
      </w:r>
      <w:r>
        <w:t xml:space="preserve">year over year to</w:t>
      </w:r>
      <w:r>
        <w:t xml:space="preserve"> </w:t>
      </w:r>
      <m:oMath>
        <m:r>
          <m:t>2.12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n</m:t>
        </m:r>
        <m:r>
          <m:t>e</m:t>
        </m:r>
        <m:r>
          <m:t>t</m:t>
        </m:r>
        <m:r>
          <m:t>b</m:t>
        </m:r>
        <m:r>
          <m:t>o</m:t>
        </m:r>
        <m:r>
          <m:t>o</m:t>
        </m:r>
        <m:r>
          <m:t>k</m:t>
        </m:r>
        <m:r>
          <m:t>i</m:t>
        </m:r>
        <m:r>
          <m:t>n</m:t>
        </m:r>
        <m:r>
          <m:t>g</m:t>
        </m:r>
        <m:r>
          <m:t>s</m:t>
        </m:r>
        <m:r>
          <m:t>g</m:t>
        </m:r>
        <m:r>
          <m:t>r</m:t>
        </m:r>
        <m:r>
          <m:t>e</m:t>
        </m:r>
        <m:r>
          <m:t>w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1.86 billion</w:t>
      </w:r>
      <w:r>
        <w:t xml:space="preserve">, GAAP operating income increased</w:t>
      </w:r>
      <w:r>
        <w:t xml:space="preserve"> </w:t>
      </w:r>
      <w:r>
        <w:rPr>
          <w:b/>
          <w:bCs/>
        </w:rPr>
        <w:t xml:space="preserve">43%</w:t>
      </w:r>
      <w:r>
        <w:t xml:space="preserve">, and diluted EPS rose to</w:t>
      </w:r>
      <w:r>
        <w:t xml:space="preserve"> </w:t>
      </w:r>
      <w:r>
        <w:rPr>
          <w:b/>
          <w:bCs/>
        </w:rPr>
        <w:t xml:space="preserve">$1.81</w:t>
      </w:r>
      <w:r>
        <w:t xml:space="preserve"> </w:t>
      </w:r>
      <w:r>
        <w:t xml:space="preserve">from $0.98.</w:t>
      </w:r>
    </w:p>
    <w:p>
      <w:pPr>
        <w:pStyle w:val="BodyText"/>
      </w:pPr>
      <w:r>
        <w:t xml:space="preserve">The company attributed the performance to a successful</w:t>
      </w:r>
      <w:r>
        <w:t xml:space="preserve"> </w:t>
      </w:r>
      <w:r>
        <w:rPr>
          <w:b/>
          <w:bCs/>
        </w:rPr>
        <w:t xml:space="preserve">Battlefield 6</w:t>
      </w:r>
      <w:r>
        <w:t xml:space="preserve"> </w:t>
      </w:r>
      <w:r>
        <w:t xml:space="preserve">launch, mid-single-digit growth in global football bookings, and double-digit annual growth at</w:t>
      </w:r>
      <w:r>
        <w:t xml:space="preserve"> </w:t>
      </w:r>
      <w:r>
        <w:rPr>
          <w:b/>
          <w:bCs/>
        </w:rPr>
        <w:t xml:space="preserve">Apex Legends</w:t>
      </w:r>
      <w:r>
        <w:t xml:space="preserve">. Q4 also saw full-game revenue rise 39% year over year and live-services revenue increase 4%. This mix underscores EA’s core standalone strengths: franchises with recurring live-service monetization plus periodic major-release catalysts.</w:t>
      </w:r>
    </w:p>
    <w:bookmarkEnd w:id="13"/>
    <w:bookmarkStart w:id="19" w:name="X0b5e8f9cdb273796d3b46c80c685a1c2e0a0e01"/>
    <w:p>
      <w:pPr>
        <w:pStyle w:val="Heading2"/>
      </w:pPr>
      <w:r>
        <w:t xml:space="preserve">Fundamental items to monitor if EA does report results</w:t>
      </w:r>
    </w:p>
    <w:p>
      <w:pPr>
        <w:pStyle w:val="FirstParagraph"/>
      </w:pPr>
      <w:r>
        <w:t xml:space="preserve">Although they are secondary to the merger, these are the operating signals that matter for assessing EA’s standalone downside value if the transaction does not close:</w:t>
      </w:r>
    </w:p>
    <w:bookmarkStart w:id="14" w:name="X6dcc1ab0a7421dd8d725780ac99213214f5c653"/>
    <w:p>
      <w:pPr>
        <w:pStyle w:val="Heading3"/>
      </w:pPr>
      <w:r>
        <w:t xml:space="preserve">1.</w:t>
      </w:r>
      <w:r>
        <w:t xml:space="preserve"> </w:t>
      </w:r>
      <w:r>
        <w:rPr>
          <w:i/>
          <w:iCs/>
        </w:rPr>
        <w:t xml:space="preserve">Battlefield 6</w:t>
      </w:r>
      <w:r>
        <w:t xml:space="preserve"> </w:t>
      </w:r>
      <w:r>
        <w:t xml:space="preserve">retention and post-launch monetization</w:t>
      </w:r>
    </w:p>
    <w:p>
      <w:pPr>
        <w:pStyle w:val="FirstParagraph"/>
      </w:pPr>
      <w:r>
        <w:t xml:space="preserve">FY26 benefited from a record-setting</w:t>
      </w:r>
      <w:r>
        <w:t xml:space="preserve"> </w:t>
      </w:r>
      <w:r>
        <w:rPr>
          <w:i/>
          <w:iCs/>
        </w:rPr>
        <w:t xml:space="preserve">Battlefield 6</w:t>
      </w:r>
      <w:r>
        <w:t xml:space="preserve"> </w:t>
      </w:r>
      <w:r>
        <w:t xml:space="preserve">launch. The next question is whether player engagement, premium content uptake, and live-service spending persist after the launch window. Sustained performance would strengthen the case that FY26’s bookings growth is durable rather than merely release-timing driven.</w:t>
      </w:r>
    </w:p>
    <w:bookmarkEnd w:id="14"/>
    <w:bookmarkStart w:id="15" w:name="Xcfd63ce374e389ab42f88fc97df62c456da589c"/>
    <w:p>
      <w:pPr>
        <w:pStyle w:val="Heading3"/>
      </w:pPr>
      <w:r>
        <w:t xml:space="preserve">2. EA SPORTS FC and American football franchises</w:t>
      </w:r>
    </w:p>
    <w:p>
      <w:pPr>
        <w:pStyle w:val="FirstParagraph"/>
      </w:pPr>
      <w:r>
        <w:t xml:space="preserve">Global Football bookings grew mid-single digits in FY26. Investors should focus on engagement and monetization trends across FC console/PC, FC Mobile, and FC Online, especially heading into the annual football release cycle. EA’s sports portfolio remains the most recurring part of the earnings base.</w:t>
      </w:r>
    </w:p>
    <w:bookmarkEnd w:id="15"/>
    <w:bookmarkStart w:id="16" w:name="Xafc6a7c016891af6094b02c69a9eac189c8a25e"/>
    <w:p>
      <w:pPr>
        <w:pStyle w:val="Heading3"/>
      </w:pPr>
      <w:r>
        <w:t xml:space="preserve">3. Apex Legends recovery durability</w:t>
      </w:r>
    </w:p>
    <w:p>
      <w:pPr>
        <w:pStyle w:val="FirstParagraph"/>
      </w:pPr>
      <w:r>
        <w:t xml:space="preserve">EA said</w:t>
      </w:r>
      <w:r>
        <w:t xml:space="preserve"> </w:t>
      </w:r>
      <w:r>
        <w:rPr>
          <w:i/>
          <w:iCs/>
        </w:rPr>
        <w:t xml:space="preserve">Apex Legends</w:t>
      </w:r>
      <w:r>
        <w:t xml:space="preserve"> </w:t>
      </w:r>
      <w:r>
        <w:t xml:space="preserve">delivered its strongest bookings quarter of FY26 and finished the year up double digits. Continued improvement in engagement and monetization would be an important positive for the live-services portfolio; a reversal would raise questions about the sustainability of the FY26 result.</w:t>
      </w:r>
    </w:p>
    <w:bookmarkEnd w:id="16"/>
    <w:bookmarkStart w:id="17" w:name="X6812cd3b319ca202721f8a59cd842b9772925e0"/>
    <w:p>
      <w:pPr>
        <w:pStyle w:val="Heading3"/>
      </w:pPr>
      <w:r>
        <w:t xml:space="preserve">4. Costs and margins</w:t>
      </w:r>
    </w:p>
    <w:p>
      <w:pPr>
        <w:pStyle w:val="FirstParagraph"/>
      </w:pPr>
      <w:r>
        <w:t xml:space="preserve">FY26 GAAP operating income declined 24% despite higher bookings, as R&amp;D, marketing, and sales expense rose. In a standalone valuation, the most important financial question would be whether EA can convert franchise momentum into durable operating-margin and cash-flow expansion—not just bookings growth.</w:t>
      </w:r>
    </w:p>
    <w:bookmarkEnd w:id="17"/>
    <w:bookmarkStart w:id="18" w:name="Xf6f766ef35c4ec9ec6aae76763298d967f76873"/>
    <w:p>
      <w:pPr>
        <w:pStyle w:val="Heading3"/>
      </w:pPr>
      <w:r>
        <w:t xml:space="preserve">5. Deferred revenue and bookings versus recognized revenue</w:t>
      </w:r>
    </w:p>
    <w:p>
      <w:pPr>
        <w:pStyle w:val="FirstParagraph"/>
      </w:pPr>
      <w:r>
        <w:t xml:space="preserve">EA’s earnings can look noisy because net bookings include changes in deferred revenue from online-enabled games. For FY26, net bookings grew 9%, while recognized GAAP revenue rose only 1%. Investors should prioritize</w:t>
      </w:r>
      <w:r>
        <w:t xml:space="preserve"> </w:t>
      </w:r>
      <w:r>
        <w:rPr>
          <w:b/>
          <w:bCs/>
        </w:rPr>
        <w:t xml:space="preserve">bookings, live-service trends, deferred revenue movements, and operating cash flow</w:t>
      </w:r>
      <w:r>
        <w:t xml:space="preserve"> </w:t>
      </w:r>
      <w:r>
        <w:t xml:space="preserve">over a headline GAAP revenue comparison.</w:t>
      </w:r>
    </w:p>
    <w:bookmarkEnd w:id="18"/>
    <w:bookmarkEnd w:id="19"/>
    <w:bookmarkStart w:id="20" w:name="key-risks"/>
    <w:p>
      <w:pPr>
        <w:pStyle w:val="Heading2"/>
      </w:pPr>
      <w:r>
        <w:t xml:space="preserve">Key risks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Regulatory/timing risk:</w:t>
      </w:r>
      <w:r>
        <w:t xml:space="preserve"> </w:t>
      </w:r>
      <w:r>
        <w:t xml:space="preserve">The original expected closing window has passed. Any continued lack of clarity on the remaining approvals could widen the spread.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Break-risk downside:</w:t>
      </w:r>
      <w:r>
        <w:t xml:space="preserve"> </w:t>
      </w:r>
      <w:r>
        <w:t xml:space="preserve">The announced $210 cash price caps upside, while a failed transaction could expose investors to a materially lower standalone share value.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Limited disclosure:</w:t>
      </w:r>
      <w:r>
        <w:t xml:space="preserve"> </w:t>
      </w:r>
      <w:r>
        <w:t xml:space="preserve">The pending deal has curtailed normal investor communication. EA may offer little or no guidance, call commentary, or financial detail.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Franchise concentration:</w:t>
      </w:r>
      <w:r>
        <w:t xml:space="preserve"> </w:t>
      </w:r>
      <w:r>
        <w:t xml:space="preserve">The standalone thesis depends heavily on the durability of FC, American football,</w:t>
      </w:r>
      <w:r>
        <w:t xml:space="preserve"> </w:t>
      </w:r>
      <w:r>
        <w:rPr>
          <w:i/>
          <w:iCs/>
        </w:rPr>
        <w:t xml:space="preserve">Battlefield</w:t>
      </w:r>
      <w:r>
        <w:t xml:space="preserve">,</w:t>
      </w:r>
      <w:r>
        <w:t xml:space="preserve"> </w:t>
      </w:r>
      <w:r>
        <w:rPr>
          <w:i/>
          <w:iCs/>
        </w:rPr>
        <w:t xml:space="preserve">Apex</w:t>
      </w:r>
      <w:r>
        <w:t xml:space="preserve">, and other live-service franchises.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Execution and investment risk:</w:t>
      </w:r>
      <w:r>
        <w:t xml:space="preserve"> </w:t>
      </w:r>
      <w:r>
        <w:t xml:space="preserve">EA increased R&amp;D and marketing spend during FY26. If bookings normalization follows the</w:t>
      </w:r>
      <w:r>
        <w:t xml:space="preserve"> </w:t>
      </w:r>
      <w:r>
        <w:rPr>
          <w:i/>
          <w:iCs/>
        </w:rPr>
        <w:t xml:space="preserve">Battlefield 6</w:t>
      </w:r>
      <w:r>
        <w:t xml:space="preserve"> </w:t>
      </w:r>
      <w:r>
        <w:t xml:space="preserve">launch, margin pressure could matter significantly in a broken-deal outcome.</w:t>
      </w:r>
    </w:p>
    <w:bookmarkEnd w:id="20"/>
    <w:bookmarkStart w:id="22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For investors going into the July 29 event window,</w:t>
      </w:r>
      <w:r>
        <w:t xml:space="preserve"> </w:t>
      </w:r>
      <w:r>
        <w:rPr>
          <w:b/>
          <w:bCs/>
        </w:rPr>
        <w:t xml:space="preserve">do not treat EA as a normal earnings trade.</w:t>
      </w:r>
      <w:r>
        <w:t xml:space="preserve"> </w:t>
      </w:r>
      <w:r>
        <w:t xml:space="preserve">A conventional EPS or bookings surprise is unlikely to be the principal driver of the shares. With EA trading at $208.91 against fixed $210 cash consideration, the investment case is almost entirely about the probability and timing of deal completion.</w:t>
      </w:r>
    </w:p>
    <w:p>
      <w:pPr>
        <w:pStyle w:val="BodyText"/>
      </w:pPr>
      <w:r>
        <w:t xml:space="preserve">The highest-value information to watch for is therefore: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 precise update on remaining regulatory approvals;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 revised or reaffirmed closing timetable;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Any indication that transaction conditions, financing, or merger terms have changed;</w:t>
      </w:r>
      <w:r>
        <w:t xml:space="preserve"> </w:t>
      </w:r>
      <w:r>
        <w:t xml:space="preserve">and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Only secondarily, confirmation that EA’s franchise portfolio remains operationally sound.</w:t>
      </w:r>
    </w:p>
    <w:bookmarkStart w:id="21" w:name="research-sources"/>
    <w:p>
      <w:pPr>
        <w:pStyle w:val="Heading3"/>
      </w:pPr>
      <w:r>
        <w:t xml:space="preserve">Research sources</w:t>
      </w:r>
    </w:p>
    <w:p>
      <w:pPr>
        <w:pStyle w:val="Compact"/>
        <w:numPr>
          <w:ilvl w:val="0"/>
          <w:numId w:val="1008"/>
        </w:numPr>
      </w:pPr>
      <w:r>
        <w:t xml:space="preserve">EA Q4/FY26 earnings release, filed May 5, 2026.</w:t>
      </w:r>
    </w:p>
    <w:p>
      <w:pPr>
        <w:pStyle w:val="Compact"/>
        <w:numPr>
          <w:ilvl w:val="0"/>
          <w:numId w:val="1008"/>
        </w:numPr>
      </w:pPr>
      <w:r>
        <w:t xml:space="preserve">EA Form 10-K for fiscal year ended March 31, 2026, filed May 11, 2026.</w:t>
      </w:r>
    </w:p>
    <w:p>
      <w:pPr>
        <w:pStyle w:val="Compact"/>
        <w:numPr>
          <w:ilvl w:val="0"/>
          <w:numId w:val="1008"/>
        </w:numPr>
      </w:pPr>
      <w:r>
        <w:t xml:space="preserve">EA Form 8-K dated February 10, 2026, covering expiration of the HSR waiting period.</w:t>
      </w:r>
    </w:p>
    <w:p>
      <w:pPr>
        <w:pStyle w:val="Compact"/>
        <w:numPr>
          <w:ilvl w:val="0"/>
          <w:numId w:val="1008"/>
        </w:numPr>
      </w:pPr>
      <w:r>
        <w:t xml:space="preserve">EA definitive merger proxy, filed November 20, 2025.</w:t>
      </w:r>
    </w:p>
    <w:p>
      <w:pPr>
        <w:pStyle w:val="Compact"/>
        <w:numPr>
          <w:ilvl w:val="0"/>
          <w:numId w:val="1008"/>
        </w:numPr>
      </w:pPr>
      <w:r>
        <w:t xml:space="preserve">EA Form 10-K/A, filed July 28, 2026.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2026-07-29T01:53:03Z</dcterms:created>
  <dcterms:modified xsi:type="dcterms:W3CDTF">2026-07-29T01:53:03Z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