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cl-earnings-predictions--2026-07-28"/>
    <w:p>
      <w:pPr>
        <w:pStyle w:val="Heading1"/>
      </w:pPr>
      <w:r>
        <w:t xml:space="preserve">ECL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2.09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~4.0% vs. cons ~4.2%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~17.2% vs. cons ~17.3%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 EPS guide (ex-CoolIT)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8.43</m:t>
              </m:r>
              <m:r>
                <m:rPr>
                  <m:sty m:val="p"/>
                </m:rPr>
                <m:t>−</m:t>
              </m:r>
            </m:oMath>
            <w:r>
              <w:t xml:space="preserve">8.63 (mid</w:t>
            </w:r>
            <w:r>
              <w:t xml:space="preserve"> </w:t>
            </w:r>
            <m:oMath>
              <m:r>
                <m:t>8.53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8.52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adj EPS guide (incl. ~$0.20 CoolIT drag)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2.05</m:t>
              </m:r>
              <m:r>
                <m:rPr>
                  <m:sty m:val="p"/>
                </m:rPr>
                <m:t>−</m:t>
              </m:r>
            </m:oMath>
            <w:r>
              <w:t xml:space="preserve">2.15 reported vs. cons ~$2.22 pre-dilution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H2'26 organic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~6-7% vs. cons ~6%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Price/cost exit-rate (pricing catches raws at Q2 exit)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~fully offset by Q2 exit vs. cons ~fully offset (Q2/H2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Even on an in-line print and a held ex-CoolIT FY guide, the out-period math is negative: CoolIT closes in Q3 and adds ~$0.20 of H2 dilution, so reported H2/Q3 estimates get cut once the reported-vs-underlying bridge is disclosed. Combined with a rich ~28x multiple, ECL's recurring 'sell-the-news' pattern (Q1 fell ~4% on an in-line beat), and the price/cost recovery being only a promise rather than proof, the modest day-1 drop follows through lower as estimates drift down.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2026-07-28T00:58:19Z</dcterms:created>
  <dcterms:modified xsi:type="dcterms:W3CDTF">2026-07-28T00:58:19Z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