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ECL (Ecolab) before writing the preview. Let me gather recent filings, transcripts, news, and price data.Let me read the most recent earnings materials and get recent news and price data.Let me get recent price action and news around the print.Let me quickly check for any analyst consensus expectations via web search.I have everything I need. Here's the earnings preview.</w:t>
      </w:r>
    </w:p>
    <w:p>
      <w:r>
        <w:pict>
          <v:rect style="width:0;height:1.5pt" o:hralign="center" o:hrstd="t" o:hr="t"/>
        </w:pict>
      </w:r>
    </w:p>
    <w:bookmarkStart w:id="18" w:name="ecolab-ecl--q2-2026-earnings-preview"/>
    <w:p>
      <w:pPr>
        <w:pStyle w:val="Heading1"/>
      </w:pPr>
      <w:r>
        <w:t xml:space="preserve">Ecolab (ECL) — Q2 2026 Earnings Preview</w:t>
      </w:r>
    </w:p>
    <w:bookmarkStart w:id="9" w:name="Xca80284bba8d13878a38600f3070482217ff56f"/>
    <w:p>
      <w:pPr>
        <w:pStyle w:val="Heading3"/>
      </w:pPr>
      <w:r>
        <w:t xml:space="preserve">Report expected: July 28, 2026 (2026Q2 Earnings Call)</w:t>
      </w:r>
    </w:p>
    <w:bookmarkEnd w:id="9"/>
    <w:bookmarkStart w:id="10" w:name="the-one-line-setup"/>
    <w:p>
      <w:pPr>
        <w:pStyle w:val="Heading2"/>
      </w:pPr>
      <w:r>
        <w:t xml:space="preserve">The One-Line Setup</w:t>
      </w:r>
    </w:p>
    <w:p>
      <w:pPr>
        <w:pStyle w:val="FirstParagraph"/>
      </w:pPr>
      <w:r>
        <w:t xml:space="preserve">This is a</w:t>
      </w:r>
      <w:r>
        <w:t xml:space="preserve"> </w:t>
      </w:r>
      <w:r>
        <w:rPr>
          <w:b/>
          <w:bCs/>
        </w:rPr>
        <w:t xml:space="preserve">"transition quarter"</w:t>
      </w:r>
      <w:r>
        <w:t xml:space="preserve"> </w:t>
      </w:r>
      <w:r>
        <w:t xml:space="preserve">that management has told investors to look past. The debate isn't whether Ecolab hits its Q2 number — it's whether the price/cost recovery and second-half margin re-acceleration story management laid out in April is tracking on schedule. Watch the exit rate and the second-half guide far more than the headline.</w:t>
      </w:r>
    </w:p>
    <w:p>
      <w:r>
        <w:pict>
          <v:rect style="width:0;height:1.5pt" o:hralign="center" o:hrstd="t" o:hr="t"/>
        </w:pict>
      </w:r>
    </w:p>
    <w:bookmarkEnd w:id="10"/>
    <w:bookmarkStart w:id="11" w:name="what-to-watch-the-guide-vs-the-print"/>
    <w:p>
      <w:pPr>
        <w:pStyle w:val="Heading2"/>
      </w:pPr>
      <w:r>
        <w:t xml:space="preserve">What to Watch: The Guide vs. The Print</w:t>
      </w:r>
    </w:p>
    <w:p>
      <w:pPr>
        <w:pStyle w:val="FirstParagraph"/>
      </w:pPr>
      <w:r>
        <w:t xml:space="preserve">Management set the bar explicitly on the Q1 call. For Q2, Ecolab expects second quarter 2026 adjusted diluted earnings per share in the $2.02 to $2.12 range, rising 7% to 12% compared with adjusted diluted earnings per share of $1.89 a year ago. That growth rate is deliberately below the full-year algorithm because this range reflects a short transition period as benefits from the energy surcharge progressively build to offset higher commodity costs.</w:t>
      </w:r>
    </w:p>
    <w:p>
      <w:pPr>
        <w:pStyle w:val="BodyText"/>
      </w:pPr>
      <w:r>
        <w:t xml:space="preserve">For the full year, the anchor is unchanged: Ecolab continues to expect full year 2026 adjusted diluted earnings per share in the $8.43 to $8.63 range, rising 12% to 15% compared with adjusted diluted earnings per share of $7.53 in 2025. This outlook excludes the impact of the recently announced acquisition of CoolIT Systems, which is expected to close during the third quarter.</w:t>
      </w:r>
    </w:p>
    <w:p>
      <w:pPr>
        <w:pStyle w:val="BodyText"/>
      </w:pPr>
      <w:r>
        <w:rPr>
          <w:b/>
          <w:bCs/>
        </w:rPr>
        <w:t xml:space="preserve">Key tells for whether the story is on track:</w:t>
      </w:r>
    </w:p>
    <w:p>
      <w:pPr>
        <w:pStyle w:val="Compact"/>
        <w:numPr>
          <w:ilvl w:val="0"/>
          <w:numId w:val="1001"/>
        </w:numPr>
      </w:pPr>
      <w:r>
        <w:rPr>
          <w:b/>
          <w:bCs/>
        </w:rPr>
        <w:t xml:space="preserve">Did they hold the full-year</w:t>
      </w:r>
      <w:r>
        <w:rPr>
          <w:b/>
          <w:bCs/>
        </w:rPr>
        <w:t xml:space="preserve"> </w:t>
      </w:r>
      <m:oMath>
        <m:r>
          <m:t>8.43</m:t>
        </m:r>
        <m:r>
          <m:rPr>
            <m:sty m:val="p"/>
          </m:rPr>
          <m:t>–</m:t>
        </m:r>
      </m:oMath>
      <w:r>
        <w:rPr>
          <w:b/>
          <w:bCs/>
        </w:rPr>
        <w:t xml:space="preserve">8.63 guide</w:t>
      </w:r>
      <w:r>
        <w:t xml:space="preserve"> </w:t>
      </w:r>
      <w:r>
        <w:t xml:space="preserve">(ex-CoolIT)? Any trim would be a meaningful negative given how firmly it was reiterated.</w:t>
      </w:r>
    </w:p>
    <w:p>
      <w:pPr>
        <w:pStyle w:val="Compact"/>
        <w:numPr>
          <w:ilvl w:val="0"/>
          <w:numId w:val="1001"/>
        </w:numPr>
      </w:pPr>
      <w:r>
        <w:rPr>
          <w:b/>
          <w:bCs/>
        </w:rPr>
        <w:t xml:space="preserve">Exit-rate confirmation</w:t>
      </w:r>
      <w:r>
        <w:t xml:space="preserve"> </w:t>
      </w:r>
      <w:r>
        <w:t xml:space="preserve">— management's central claim is that pricing catches raws by quarter-end. As the company exits the second quarter, it expects accelerating pricing to cover the dollar impact from higher commodity costs, with gross margin stabilizing in the second half of the year.</w:t>
      </w:r>
    </w:p>
    <w:p>
      <w:pPr>
        <w:pStyle w:val="Compact"/>
        <w:numPr>
          <w:ilvl w:val="0"/>
          <w:numId w:val="1001"/>
        </w:numPr>
      </w:pPr>
      <w:r>
        <w:rPr>
          <w:b/>
          <w:bCs/>
        </w:rPr>
        <w:t xml:space="preserve">The second-half acceleration</w:t>
      </w:r>
      <w:r>
        <w:t xml:space="preserve"> </w:t>
      </w:r>
      <w:r>
        <w:t xml:space="preserve">— Organic sales growth is expected to accelerate to the 6% to 7% range in the second half of the year as pricing strengthens and volumes continue to grow.</w:t>
      </w:r>
    </w:p>
    <w:p>
      <w:r>
        <w:pict>
          <v:rect style="width:0;height:1.5pt" o:hralign="center" o:hrstd="t" o:hr="t"/>
        </w:pict>
      </w:r>
    </w:p>
    <w:bookmarkEnd w:id="11"/>
    <w:bookmarkStart w:id="12" w:name="X2446b73f6ddc4e0a6850cda85a13157f358d176"/>
    <w:p>
      <w:pPr>
        <w:pStyle w:val="Heading2"/>
      </w:pPr>
      <w:r>
        <w:t xml:space="preserve">The Central Debate: Price/Cost and the Energy Surcharge</w:t>
      </w:r>
    </w:p>
    <w:p>
      <w:pPr>
        <w:pStyle w:val="FirstParagraph"/>
      </w:pPr>
      <w:r>
        <w:t xml:space="preserve">The whole quarter hinges on execution of a global energy surcharge implemented April 1 in response to the Middle East–driven spike in energy costs.</w:t>
      </w:r>
    </w:p>
    <w:p>
      <w:pPr>
        <w:pStyle w:val="Compact"/>
        <w:numPr>
          <w:ilvl w:val="0"/>
          <w:numId w:val="1002"/>
        </w:numPr>
      </w:pPr>
      <w:r>
        <w:rPr>
          <w:b/>
          <w:bCs/>
        </w:rPr>
        <w:t xml:space="preserve">Cost backdrop:</w:t>
      </w:r>
      <w:r>
        <w:t xml:space="preserve"> </w:t>
      </w:r>
      <w:r>
        <w:t xml:space="preserve">Commodity costs are expected to increase high‑single digits starting in the second quarter, and those costs are expected to remain high through the end of the year. On the call CEO Christophe Beck framed this as manageable — an ~9% commodity increase affecting roughly a third of direct product costs, versus the +50% shock in 2022 that the company priced through while margins still expanded.</w:t>
      </w:r>
    </w:p>
    <w:p>
      <w:pPr>
        <w:pStyle w:val="Compact"/>
        <w:numPr>
          <w:ilvl w:val="0"/>
          <w:numId w:val="1002"/>
        </w:numPr>
      </w:pPr>
      <w:r>
        <w:rPr>
          <w:b/>
          <w:bCs/>
        </w:rPr>
        <w:t xml:space="preserve">The mechanism:</w:t>
      </w:r>
      <w:r>
        <w:t xml:space="preserve"> </w:t>
      </w:r>
      <w:r>
        <w:t xml:space="preserve">The surcharge is broad — Beck said it applies to essentially all customers, businesses and countries, and it's the third time Ecolab has run this playbook. Over time surcharges convert to structural pricing.</w:t>
      </w:r>
    </w:p>
    <w:p>
      <w:pPr>
        <w:pStyle w:val="Compact"/>
        <w:numPr>
          <w:ilvl w:val="0"/>
          <w:numId w:val="1002"/>
        </w:numPr>
      </w:pPr>
      <w:r>
        <w:rPr>
          <w:b/>
          <w:bCs/>
        </w:rPr>
        <w:t xml:space="preserve">The risk:</w:t>
      </w:r>
      <w:r>
        <w:t xml:space="preserve"> </w:t>
      </w:r>
      <w:r>
        <w:t xml:space="preserve">If energy/raws run hotter than the 8–9% assumed (Beck expects it "flat to up," not down), the exit-rate math slips a quarter. This is the single biggest swing factor for sentiment.</w:t>
      </w:r>
    </w:p>
    <w:p>
      <w:pPr>
        <w:pStyle w:val="FirstParagraph"/>
      </w:pPr>
      <w:r>
        <w:t xml:space="preserve">Framing to keep in mind — management has been at pains to say this isn't where the story is: "underlying performance remains on track and within the targeted 12% to 15% range," and it expects to fully offset the dollar impact from higher commodity costs as it exits the second quarter as pricing continues to accelerate and volumes continue to grow.</w:t>
      </w:r>
    </w:p>
    <w:p>
      <w:r>
        <w:pict>
          <v:rect style="width:0;height:1.5pt" o:hralign="center" o:hrstd="t" o:hr="t"/>
        </w:pict>
      </w:r>
    </w:p>
    <w:bookmarkEnd w:id="12"/>
    <w:bookmarkStart w:id="13" w:name="growth-engines--the-real-story"/>
    <w:p>
      <w:pPr>
        <w:pStyle w:val="Heading2"/>
      </w:pPr>
      <w:r>
        <w:t xml:space="preserve">Growth Engines — The Real Story</w:t>
      </w:r>
    </w:p>
    <w:p>
      <w:pPr>
        <w:pStyle w:val="FirstParagraph"/>
      </w:pPr>
      <w:r>
        <w:t xml:space="preserve">Beneath the price/cost noise, the bull case is a portfolio mix shift toward high-growth, high-margin, low-energy-exposure businesses. Q1 momentum to look for continuation:</w:t>
      </w:r>
    </w:p>
    <w:p>
      <w:pPr>
        <w:pStyle w:val="Compact"/>
        <w:numPr>
          <w:ilvl w:val="0"/>
          <w:numId w:val="1003"/>
        </w:numPr>
      </w:pPr>
      <w:r>
        <w:rPr>
          <w:b/>
          <w:bCs/>
        </w:rPr>
        <w:t xml:space="preserve">Global High-Tech + Digital:</w:t>
      </w:r>
      <w:r>
        <w:t xml:space="preserve"> </w:t>
      </w:r>
      <w:r>
        <w:t xml:space="preserve">Both grew 20%+ in Q1. Global High-Tech posted more than 20% organic growth, reflecting robust growth across both microelectronics and data centers, and Ecolab Digital sales increased 24% to $99 million, with double-digit growth across both software and enabling hardware subscriptions.</w:t>
      </w:r>
    </w:p>
    <w:p>
      <w:pPr>
        <w:pStyle w:val="Compact"/>
        <w:numPr>
          <w:ilvl w:val="0"/>
          <w:numId w:val="1003"/>
        </w:numPr>
      </w:pPr>
      <w:r>
        <w:rPr>
          <w:b/>
          <w:bCs/>
        </w:rPr>
        <w:t xml:space="preserve">Life Sciences — the inflection:</w:t>
      </w:r>
      <w:r>
        <w:t xml:space="preserve"> </w:t>
      </w:r>
      <w:r>
        <w:t xml:space="preserve">Life Sciences accelerated to 11% growth, driven by bioprocessing, which more than doubled its sales during the quarter. Management expects double-digit growth to persist and OI margins to march toward a 30% target over time. Watch whether the second-half capacity plant opening and bioprocessing momentum sustain this.</w:t>
      </w:r>
    </w:p>
    <w:p>
      <w:pPr>
        <w:pStyle w:val="Compact"/>
        <w:numPr>
          <w:ilvl w:val="0"/>
          <w:numId w:val="1003"/>
        </w:numPr>
      </w:pPr>
      <w:r>
        <w:rPr>
          <w:b/>
          <w:bCs/>
        </w:rPr>
        <w:t xml:space="preserve">Pest Elimination:</w:t>
      </w:r>
      <w:r>
        <w:t xml:space="preserve"> </w:t>
      </w:r>
      <w:r>
        <w:t xml:space="preserve">Pest Elimination grew 7%, with strong gains from the One Ecolab growth initiative and the new pest intelligence offering. Roughly 700k smart devices deployed, targeting ~1 million by year-end.</w:t>
      </w:r>
    </w:p>
    <w:p>
      <w:pPr>
        <w:pStyle w:val="Compact"/>
        <w:numPr>
          <w:ilvl w:val="0"/>
          <w:numId w:val="1003"/>
        </w:numPr>
      </w:pPr>
      <w:r>
        <w:rPr>
          <w:b/>
          <w:bCs/>
        </w:rPr>
        <w:t xml:space="preserve">Core:</w:t>
      </w:r>
      <w:r>
        <w:t xml:space="preserve"> </w:t>
      </w:r>
      <w:r>
        <w:t xml:space="preserve">Institutional and Specialty both improved, and Food &amp; Beverage continued to significantly outperform market trends, while previously weak Paper and Heavy Water "stabilized." Watch whether these two laggards turn slightly positive in H2 as promised.</w:t>
      </w:r>
    </w:p>
    <w:p>
      <w:r>
        <w:pict>
          <v:rect style="width:0;height:1.5pt" o:hralign="center" o:hrstd="t" o:hr="t"/>
        </w:pict>
      </w:r>
    </w:p>
    <w:bookmarkEnd w:id="13"/>
    <w:bookmarkStart w:id="14" w:name="X3dabbed4e2e3bd81f162aa025a04828e3a6ddd1"/>
    <w:p>
      <w:pPr>
        <w:pStyle w:val="Heading2"/>
      </w:pPr>
      <w:r>
        <w:t xml:space="preserve">CoolIT / Ovivo — The AI-Water Optionality (and a Near-Term Headwind)</w:t>
      </w:r>
    </w:p>
    <w:p>
      <w:pPr>
        <w:pStyle w:val="FirstParagraph"/>
      </w:pPr>
      <w:r>
        <w:t xml:space="preserve">Ecolab is assembling a data-center/microelectronics water franchise it describes as a</w:t>
      </w:r>
      <w:r>
        <w:t xml:space="preserve"> </w:t>
      </w:r>
      <w:r>
        <w:rPr>
          <w:b/>
          <w:bCs/>
        </w:rPr>
        <w:t xml:space="preserve">~$1.5B "powerhouse."</w:t>
      </w:r>
      <w:r>
        <w:t xml:space="preserve"> </w:t>
      </w:r>
      <w:r>
        <w:t xml:space="preserve">Two things to track this quarter:</w:t>
      </w:r>
    </w:p>
    <w:p>
      <w:pPr>
        <w:pStyle w:val="Compact"/>
        <w:numPr>
          <w:ilvl w:val="0"/>
          <w:numId w:val="1004"/>
        </w:numPr>
      </w:pPr>
      <w:r>
        <w:rPr>
          <w:b/>
          <w:bCs/>
        </w:rPr>
        <w:t xml:space="preserve">CoolIT close timing &amp; momentum.</w:t>
      </w:r>
      <w:r>
        <w:t xml:space="preserve"> </w:t>
      </w:r>
      <w:r>
        <w:t xml:space="preserve">Management said CoolIT is off to a very strong start — Q1 sales growth "way north" of the 30%+ base case (Beck later characterized it as close to triple-digit). The deal is expected to close in Q3, pending regulatory approval.</w:t>
      </w:r>
    </w:p>
    <w:p>
      <w:pPr>
        <w:pStyle w:val="Compact"/>
        <w:numPr>
          <w:ilvl w:val="0"/>
          <w:numId w:val="1004"/>
        </w:numPr>
      </w:pPr>
      <w:r>
        <w:rPr>
          <w:b/>
          <w:bCs/>
        </w:rPr>
        <w:t xml:space="preserve">The near-term EPS drag.</w:t>
      </w:r>
      <w:r>
        <w:t xml:space="preserve"> </w:t>
      </w:r>
      <w:r>
        <w:t xml:space="preserve">This is why the guide is quoted</w:t>
      </w:r>
      <w:r>
        <w:t xml:space="preserve"> </w:t>
      </w:r>
      <w:r>
        <w:rPr>
          <w:i/>
          <w:iCs/>
        </w:rPr>
        <w:t xml:space="preserve">ex-CoolIT</w:t>
      </w:r>
      <w:r>
        <w:t xml:space="preserve">: following the close, the impact is expected to reduce quarterly EPS by approximately $0.20 in the second half (financing + non-cash amortization), before neutralizing in 2027 as Nalco amortization rolls off. Investors should expect a reported vs. underlying EPS bridge once the deal closes.</w:t>
      </w:r>
    </w:p>
    <w:p>
      <w:pPr>
        <w:pStyle w:val="FirstParagraph"/>
      </w:pPr>
      <w:r>
        <w:rPr>
          <w:b/>
          <w:bCs/>
        </w:rPr>
        <w:t xml:space="preserve">Ovivo</w:t>
      </w:r>
      <w:r>
        <w:t xml:space="preserve"> </w:t>
      </w:r>
      <w:r>
        <w:t xml:space="preserve">(already owned) is a ~5% inorganic contributor to the Water segment and is expected to grow mid-teens, with a backlog running ahead of plan on fab expansions.</w:t>
      </w:r>
    </w:p>
    <w:p>
      <w:r>
        <w:pict>
          <v:rect style="width:0;height:1.5pt" o:hralign="center" o:hrstd="t" o:hr="t"/>
        </w:pict>
      </w:r>
    </w:p>
    <w:bookmarkEnd w:id="14"/>
    <w:bookmarkStart w:id="15" w:name="margin-trajectory--the-20-milestone"/>
    <w:p>
      <w:pPr>
        <w:pStyle w:val="Heading2"/>
      </w:pPr>
      <w:r>
        <w:t xml:space="preserve">Margin Trajectory — The 20% Milestone</w:t>
      </w:r>
    </w:p>
    <w:p>
      <w:pPr>
        <w:pStyle w:val="FirstParagraph"/>
      </w:pPr>
      <w:r>
        <w:t xml:space="preserve">The multi-year margin story remains the core equity thesis. Management reiterated confidence in adjusted operating income margin expanding to approximately 19% in 2026, resulting in adjusted operating income growth of 14% to 16%, with a path to 20% in 2027. Q1 showed the model working: reported operating income margin was 15.3% and adjusted operating income margin increased 70 bps to 16.7%. SG&amp;A leverage (One Ecolab, agentic AI, digital) is expected to run ~100 bps for the year.</w:t>
      </w:r>
      <w:r>
        <w:t xml:space="preserve"> </w:t>
      </w:r>
      <w:r>
        <w:rPr>
          <w:b/>
          <w:bCs/>
        </w:rPr>
        <w:t xml:space="preserve">Watch for any gross-margin bridge commentary</w:t>
      </w:r>
      <w:r>
        <w:t xml:space="preserve"> </w:t>
      </w:r>
      <w:r>
        <w:t xml:space="preserve">— Q2 will optically be the trough given the raws/pricing timing mismatch.</w:t>
      </w:r>
    </w:p>
    <w:p>
      <w:r>
        <w:pict>
          <v:rect style="width:0;height:1.5pt" o:hralign="center" o:hrstd="t" o:hr="t"/>
        </w:pict>
      </w:r>
    </w:p>
    <w:bookmarkEnd w:id="15"/>
    <w:bookmarkStart w:id="16" w:name="stock-setup--sentiment"/>
    <w:p>
      <w:pPr>
        <w:pStyle w:val="Heading2"/>
      </w:pPr>
      <w:r>
        <w:t xml:space="preserve">Stock Setup &amp; Sentiment</w:t>
      </w:r>
    </w:p>
    <w:p>
      <w:pPr>
        <w:pStyle w:val="Compact"/>
        <w:numPr>
          <w:ilvl w:val="0"/>
          <w:numId w:val="1005"/>
        </w:numPr>
      </w:pPr>
      <w:r>
        <w:t xml:space="preserve">ECL has</w:t>
      </w:r>
      <w:r>
        <w:t xml:space="preserve"> </w:t>
      </w:r>
      <w:r>
        <w:rPr>
          <w:b/>
          <w:bCs/>
        </w:rPr>
        <w:t xml:space="preserve">lagged the market YTD</w:t>
      </w:r>
      <w:r>
        <w:t xml:space="preserve"> </w:t>
      </w:r>
      <w:r>
        <w:t xml:space="preserve">(~+3% vs. ~+8% for the S&amp;P), and sits roughly</w:t>
      </w:r>
      <w:r>
        <w:t xml:space="preserve"> </w:t>
      </w:r>
      <w:r>
        <w:rPr>
          <w:b/>
          <w:bCs/>
        </w:rPr>
        <w:t xml:space="preserve">12% below its late-February high</w:t>
      </w:r>
      <w:r>
        <w:t xml:space="preserve"> </w:t>
      </w:r>
      <w:r>
        <w:t xml:space="preserve">near</w:t>
      </w:r>
      <w:r>
        <w:t xml:space="preserve"> </w:t>
      </w:r>
      <m:oMath>
        <m:r>
          <m:t>308</m:t>
        </m:r>
        <m:r>
          <m:rPr>
            <m:sty m:val="p"/>
          </m:rPr>
          <m:t>,</m:t>
        </m:r>
        <m:r>
          <m:t>c</m:t>
        </m:r>
        <m:r>
          <m:t>l</m:t>
        </m:r>
        <m:r>
          <m:t>o</m:t>
        </m:r>
        <m:r>
          <m:t>s</m:t>
        </m:r>
        <m:r>
          <m:t>i</m:t>
        </m:r>
        <m:r>
          <m:t>n</m:t>
        </m:r>
        <m:r>
          <m:t>g</m:t>
        </m:r>
        <m:r>
          <m:t>a</m:t>
        </m:r>
        <m:r>
          <m:t>r</m:t>
        </m:r>
        <m:r>
          <m:t>o</m:t>
        </m:r>
        <m:r>
          <m:t>u</m:t>
        </m:r>
        <m:r>
          <m:t>n</m:t>
        </m:r>
        <m:r>
          <m:t>d</m:t>
        </m:r>
        <m:r>
          <m:rPr>
            <m:sty m:val="p"/>
          </m:rPr>
          <m:t>*</m:t>
        </m:r>
        <m:r>
          <m:rPr>
            <m:sty m:val="p"/>
          </m:rPr>
          <m:t>*</m:t>
        </m:r>
      </m:oMath>
      <w:r>
        <w:t xml:space="preserve">271** into the print.</w:t>
      </w:r>
    </w:p>
    <w:p>
      <w:pPr>
        <w:pStyle w:val="Compact"/>
        <w:numPr>
          <w:ilvl w:val="0"/>
          <w:numId w:val="1005"/>
        </w:numPr>
      </w:pPr>
      <w:r>
        <w:rPr>
          <w:b/>
          <w:bCs/>
        </w:rPr>
        <w:t xml:space="preserve">Recall the Q1 reaction was negative</w:t>
      </w:r>
      <w:r>
        <w:t xml:space="preserve"> </w:t>
      </w:r>
      <w:r>
        <w:t xml:space="preserve">— shares fell ~4% the day after the April 28 report despite an in-line beat, as investors digested the Q2 transition messaging and CoolIT dilution. Expectations are therefore somewhat reset, which cuts both ways.</w:t>
      </w:r>
    </w:p>
    <w:p>
      <w:pPr>
        <w:pStyle w:val="Compact"/>
        <w:numPr>
          <w:ilvl w:val="0"/>
          <w:numId w:val="1005"/>
        </w:numPr>
      </w:pPr>
      <w:r>
        <w:t xml:space="preserve">The stock bottomed near ~$249 in mid-May and has clawed back since, so a "clean" quarter with a maintained guide could be received better than the Q1 print was.</w:t>
      </w:r>
    </w:p>
    <w:p>
      <w:r>
        <w:pict>
          <v:rect style="width:0;height:1.5pt" o:hralign="center" o:hrstd="t" o:hr="t"/>
        </w:pict>
      </w:r>
    </w:p>
    <w:bookmarkEnd w:id="16"/>
    <w:bookmarkStart w:id="17" w:name="bottom-line--what-would-move-the-stock"/>
    <w:p>
      <w:pPr>
        <w:pStyle w:val="Heading2"/>
      </w:pPr>
      <w:r>
        <w:t xml:space="preserve">Bottom Line — What Would Move the Stock</w:t>
      </w:r>
    </w:p>
    <w:p>
      <w:pPr>
        <w:pStyle w:val="FirstParagraph"/>
      </w:pPr>
      <w:r>
        <w:rPr>
          <w:b/>
          <w:bCs/>
        </w:rPr>
        <w:t xml:space="preserve">Positive:</w:t>
      </w:r>
      <w:r>
        <w:t xml:space="preserve"> </w:t>
      </w:r>
      <w:r>
        <w:t xml:space="preserve">Full-year guide held (or nudged up), explicit confirmation that pricing has caught raws at quarter exit, continued 20%+ high-tech/Life Sciences momentum, and a clean CoolIT close timeline.</w:t>
      </w:r>
    </w:p>
    <w:p>
      <w:pPr>
        <w:pStyle w:val="BodyText"/>
      </w:pPr>
      <w:r>
        <w:rPr>
          <w:b/>
          <w:bCs/>
        </w:rPr>
        <w:t xml:space="preserve">Negative:</w:t>
      </w:r>
      <w:r>
        <w:t xml:space="preserve"> </w:t>
      </w:r>
      <w:r>
        <w:t xml:space="preserve">Any full-year trim, evidence commodity inflation is running hotter than the 8–9% assumption, surcharge realization lagging, or a messier-than-expected CoolIT dilution bridge.</w:t>
      </w:r>
    </w:p>
    <w:p>
      <w:pPr>
        <w:pStyle w:val="BodyText"/>
      </w:pPr>
      <w:r>
        <w:t xml:space="preserve">Given management pre-committed to a soft-looking Q2 optics, the market reaction will likely be driven</w:t>
      </w:r>
      <w:r>
        <w:t xml:space="preserve"> </w:t>
      </w:r>
      <w:r>
        <w:rPr>
          <w:b/>
          <w:bCs/>
        </w:rPr>
        <w:t xml:space="preserve">less by the</w:t>
      </w:r>
      <w:r>
        <w:rPr>
          <w:b/>
          <w:bCs/>
        </w:rPr>
        <w:t xml:space="preserve"> </w:t>
      </w:r>
      <m:oMath>
        <m:r>
          <m:t>2.02</m:t>
        </m:r>
        <m:r>
          <m:rPr>
            <m:sty m:val="p"/>
          </m:rPr>
          <m:t>–</m:t>
        </m:r>
      </m:oMath>
      <w:r>
        <w:rPr>
          <w:b/>
          <w:bCs/>
        </w:rPr>
        <w:t xml:space="preserve">2.12 print and more by the second-half bridge</w:t>
      </w:r>
      <w:r>
        <w:t xml:space="preserve">: is the price/cost recovery on schedule, and is the growth-engine mix shift still accelerating? Those two answers determine whether the path to 20% margins and the 12–15% EPS algorithm remains intact into 2027.</w:t>
      </w:r>
    </w:p>
    <w:p>
      <w:pPr>
        <w:pStyle w:val="BodyText"/>
      </w:pPr>
      <w:r>
        <w:rPr>
          <w:i/>
          <w:iCs/>
        </w:rPr>
        <w:t xml:space="preserve">Note: figures and guidance above are drawn from Ecolab's Q1 2026 (April 28, 2026) earnings release and conference call; no verified third-party sell-side consensus for Q2 2026 was available in the sources reviewed.</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2026-07-28T00:58:19Z</dcterms:created>
  <dcterms:modified xsi:type="dcterms:W3CDTF">2026-07-28T00:58:19Z</dcterms:modified>
</cp:coreProperties>
</file>

<file path=docProps/custom.xml><?xml version="1.0" encoding="utf-8"?>
<Properties xmlns="http://schemas.openxmlformats.org/officeDocument/2006/custom-properties" xmlns:vt="http://schemas.openxmlformats.org/officeDocument/2006/docPropsVTypes"/>
</file>