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ecl-earnings-predictions--2026-07-28"/>
    <w:p>
      <w:pPr>
        <w:pStyle w:val="Heading1"/>
      </w:pPr>
      <w:r>
        <w:t xml:space="preserve">ECL Earnings Predictions — 2026-07-28</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Ticker</w:t>
            </w:r>
          </w:p>
        </w:tc>
        <w:tc>
          <w:tcPr/>
          <w:p>
            <w:pPr>
              <w:pStyle w:val="Compact"/>
            </w:pPr>
            <w:r>
              <w:t xml:space="preserve">Report or Guide</w:t>
            </w:r>
          </w:p>
        </w:tc>
        <w:tc>
          <w:tcPr/>
          <w:p>
            <w:pPr>
              <w:pStyle w:val="Compact"/>
            </w:pPr>
            <w:r>
              <w:t xml:space="preserve">KPI</w:t>
            </w:r>
          </w:p>
        </w:tc>
        <w:tc>
          <w:tcPr/>
          <w:p>
            <w:pPr>
              <w:pStyle w:val="Compact"/>
            </w:pPr>
            <w:r>
              <w:t xml:space="preserve">Prediction</w:t>
            </w:r>
          </w:p>
        </w:tc>
        <w:tc>
          <w:tcPr/>
          <w:p>
            <w:pPr>
              <w:pStyle w:val="Compact"/>
            </w:pPr>
            <w:r>
              <w:t xml:space="preserve">Answer</w:t>
            </w:r>
          </w:p>
        </w:tc>
        <w:tc>
          <w:tcPr/>
          <w:p>
            <w:pPr>
              <w:pStyle w:val="Compact"/>
            </w:pPr>
            <w:r>
              <w:t xml:space="preserve">Confidence</w:t>
            </w:r>
          </w:p>
        </w:tc>
      </w:tr>
      <w:tr>
        <w:tc>
          <w:tcPr/>
          <w:p>
            <w:pPr>
              <w:pStyle w:val="Compact"/>
            </w:pPr>
            <w:r>
              <w:t xml:space="preserve">ECL</w:t>
            </w:r>
          </w:p>
        </w:tc>
        <w:tc>
          <w:tcPr/>
          <w:p>
            <w:pPr>
              <w:pStyle w:val="Compact"/>
            </w:pPr>
            <w:r>
              <w:t xml:space="preserve">Report</w:t>
            </w:r>
          </w:p>
        </w:tc>
        <w:tc>
          <w:tcPr/>
          <w:p>
            <w:pPr>
              <w:pStyle w:val="Compact"/>
            </w:pPr>
            <w:r>
              <w:t xml:space="preserve">Adjusted EPS (Q2 2026)</w:t>
            </w:r>
          </w:p>
        </w:tc>
        <w:tc>
          <w:tcPr/>
          <w:p>
            <w:pPr>
              <w:pStyle w:val="Compact"/>
            </w:pPr>
            <w:r>
              <w:t xml:space="preserve">BEAT</w:t>
            </w:r>
          </w:p>
        </w:tc>
        <w:tc>
          <w:tcPr/>
          <w:p>
            <w:pPr>
              <w:pStyle w:val="Compact"/>
            </w:pPr>
            <w:r>
              <w:t xml:space="preserve">pred ~$2.11 vs. cons $2.08</w:t>
            </w:r>
          </w:p>
        </w:tc>
        <w:tc>
          <w:tcPr/>
          <w:p>
            <w:pPr>
              <w:pStyle w:val="Compact"/>
            </w:pPr>
            <w:r>
              <w:t xml:space="preserve">MEDIUM</w:t>
            </w:r>
          </w:p>
        </w:tc>
      </w:tr>
      <w:tr>
        <w:tc>
          <w:tcPr/>
          <w:p>
            <w:pPr>
              <w:pStyle w:val="Compact"/>
            </w:pPr>
            <w:r>
              <w:t xml:space="preserve">ECL</w:t>
            </w:r>
          </w:p>
        </w:tc>
        <w:tc>
          <w:tcPr/>
          <w:p>
            <w:pPr>
              <w:pStyle w:val="Compact"/>
            </w:pPr>
            <w:r>
              <w:t xml:space="preserve">Report</w:t>
            </w:r>
          </w:p>
        </w:tc>
        <w:tc>
          <w:tcPr/>
          <w:p>
            <w:pPr>
              <w:pStyle w:val="Compact"/>
            </w:pPr>
            <w:r>
              <w:t xml:space="preserve">Total Revenue (Q2 2026)</w:t>
            </w:r>
          </w:p>
        </w:tc>
        <w:tc>
          <w:tcPr/>
          <w:p>
            <w:pPr>
              <w:pStyle w:val="Compact"/>
            </w:pPr>
            <w:r>
              <w:t xml:space="preserve">IN-LINE</w:t>
            </w:r>
          </w:p>
        </w:tc>
        <w:tc>
          <w:tcPr/>
          <w:p>
            <w:pPr>
              <w:pStyle w:val="Compact"/>
            </w:pPr>
            <w:r>
              <w:t xml:space="preserve">pred ~$4.43B vs. cons $4.40B</w:t>
            </w:r>
          </w:p>
        </w:tc>
        <w:tc>
          <w:tcPr/>
          <w:p>
            <w:pPr>
              <w:pStyle w:val="Compact"/>
            </w:pPr>
            <w:r>
              <w:t xml:space="preserve">MEDIUM</w:t>
            </w:r>
          </w:p>
        </w:tc>
      </w:tr>
      <w:tr>
        <w:tc>
          <w:tcPr/>
          <w:p>
            <w:pPr>
              <w:pStyle w:val="Compact"/>
            </w:pPr>
            <w:r>
              <w:t xml:space="preserve">ECL</w:t>
            </w:r>
          </w:p>
        </w:tc>
        <w:tc>
          <w:tcPr/>
          <w:p>
            <w:pPr>
              <w:pStyle w:val="Compact"/>
            </w:pPr>
            <w:r>
              <w:t xml:space="preserve">Report</w:t>
            </w:r>
          </w:p>
        </w:tc>
        <w:tc>
          <w:tcPr/>
          <w:p>
            <w:pPr>
              <w:pStyle w:val="Compact"/>
            </w:pPr>
            <w:r>
              <w:t xml:space="preserve">Adjusted Operating Income Margin (Q2 2026)</w:t>
            </w:r>
          </w:p>
        </w:tc>
        <w:tc>
          <w:tcPr/>
          <w:p>
            <w:pPr>
              <w:pStyle w:val="Compact"/>
            </w:pPr>
            <w:r>
              <w:t xml:space="preserve">MISS</w:t>
            </w:r>
          </w:p>
        </w:tc>
        <w:tc>
          <w:tcPr/>
          <w:p>
            <w:pPr>
              <w:pStyle w:val="Compact"/>
            </w:pPr>
            <w:r>
              <w:t xml:space="preserve">pred ~18.4% vs. cons 18.6%</w:t>
            </w:r>
          </w:p>
        </w:tc>
        <w:tc>
          <w:tcPr/>
          <w:p>
            <w:pPr>
              <w:pStyle w:val="Compact"/>
            </w:pPr>
            <w:r>
              <w:t xml:space="preserve">LOW</w:t>
            </w:r>
          </w:p>
        </w:tc>
      </w:tr>
      <w:tr>
        <w:tc>
          <w:tcPr/>
          <w:p>
            <w:pPr>
              <w:pStyle w:val="Compact"/>
            </w:pPr>
            <w:r>
              <w:t xml:space="preserve">ECL</w:t>
            </w:r>
          </w:p>
        </w:tc>
        <w:tc>
          <w:tcPr/>
          <w:p>
            <w:pPr>
              <w:pStyle w:val="Compact"/>
            </w:pPr>
            <w:r>
              <w:t xml:space="preserve">Guide</w:t>
            </w:r>
          </w:p>
        </w:tc>
        <w:tc>
          <w:tcPr/>
          <w:p>
            <w:pPr>
              <w:pStyle w:val="Compact"/>
            </w:pPr>
            <w:r>
              <w:t xml:space="preserve">FY2026 Adjusted EPS Guidance</w:t>
            </w:r>
          </w:p>
        </w:tc>
        <w:tc>
          <w:tcPr/>
          <w:p>
            <w:pPr>
              <w:pStyle w:val="Compact"/>
            </w:pPr>
            <w:r>
              <w:t xml:space="preserve">UNCHANGED</w:t>
            </w:r>
          </w:p>
        </w:tc>
        <w:tc>
          <w:tcPr/>
          <w:p>
            <w:pPr>
              <w:pStyle w:val="Compact"/>
            </w:pPr>
            <w:r>
              <w:t xml:space="preserve">guide ~</w:t>
            </w:r>
            <m:oMath>
              <m:r>
                <m:t>8.43</m:t>
              </m:r>
              <m:r>
                <m:rPr>
                  <m:sty m:val="p"/>
                </m:rPr>
                <m:t>−</m:t>
              </m:r>
            </m:oMath>
            <w:r>
              <w:t xml:space="preserve">8.63 (mid $8.53) vs. cons $8.53 (FY2026)</w:t>
            </w:r>
          </w:p>
        </w:tc>
        <w:tc>
          <w:tcPr/>
          <w:p>
            <w:pPr>
              <w:pStyle w:val="Compact"/>
            </w:pPr>
            <w:r>
              <w:t xml:space="preserve">HIGH</w:t>
            </w:r>
          </w:p>
        </w:tc>
      </w:tr>
      <w:tr>
        <w:tc>
          <w:tcPr/>
          <w:p>
            <w:pPr>
              <w:pStyle w:val="Compact"/>
            </w:pPr>
            <w:r>
              <w:t xml:space="preserve">ECL</w:t>
            </w:r>
          </w:p>
        </w:tc>
        <w:tc>
          <w:tcPr/>
          <w:p>
            <w:pPr>
              <w:pStyle w:val="Compact"/>
            </w:pPr>
            <w:r>
              <w:t xml:space="preserve">Guide</w:t>
            </w:r>
          </w:p>
        </w:tc>
        <w:tc>
          <w:tcPr/>
          <w:p>
            <w:pPr>
              <w:pStyle w:val="Compact"/>
            </w:pPr>
            <w:r>
              <w:t xml:space="preserve">H2 2026 Organic Sales Growth Guidance</w:t>
            </w:r>
          </w:p>
        </w:tc>
        <w:tc>
          <w:tcPr/>
          <w:p>
            <w:pPr>
              <w:pStyle w:val="Compact"/>
            </w:pPr>
            <w:r>
              <w:t xml:space="preserve">UNCHANGED</w:t>
            </w:r>
          </w:p>
        </w:tc>
        <w:tc>
          <w:tcPr/>
          <w:p>
            <w:pPr>
              <w:pStyle w:val="Compact"/>
            </w:pPr>
            <w:r>
              <w:t xml:space="preserve">guide ~6-7% vs. cons ~6.5% (H2 2026)</w:t>
            </w:r>
          </w:p>
        </w:tc>
        <w:tc>
          <w:tcPr/>
          <w:p>
            <w:pPr>
              <w:pStyle w:val="Compact"/>
            </w:pPr>
            <w:r>
              <w:t xml:space="preserve">HIGH</w:t>
            </w:r>
          </w:p>
        </w:tc>
      </w:tr>
      <w:tr>
        <w:tc>
          <w:tcPr/>
          <w:p>
            <w:pPr>
              <w:pStyle w:val="Compact"/>
            </w:pPr>
            <w:r>
              <w:t xml:space="preserve">ECL</w:t>
            </w:r>
          </w:p>
        </w:tc>
        <w:tc>
          <w:tcPr/>
          <w:p>
            <w:pPr>
              <w:pStyle w:val="Compact"/>
            </w:pPr>
            <w:r>
              <w:t xml:space="preserve">Guide</w:t>
            </w:r>
          </w:p>
        </w:tc>
        <w:tc>
          <w:tcPr/>
          <w:p>
            <w:pPr>
              <w:pStyle w:val="Compact"/>
            </w:pPr>
            <w:r>
              <w:t xml:space="preserve">CoolIT Close Timing / Dilution Guidance</w:t>
            </w:r>
          </w:p>
        </w:tc>
        <w:tc>
          <w:tcPr/>
          <w:p>
            <w:pPr>
              <w:pStyle w:val="Compact"/>
            </w:pPr>
            <w:r>
              <w:t xml:space="preserve">UNCHANGED</w:t>
            </w:r>
          </w:p>
        </w:tc>
        <w:tc>
          <w:tcPr/>
          <w:p>
            <w:pPr>
              <w:pStyle w:val="Compact"/>
            </w:pPr>
            <w:r>
              <w:t xml:space="preserve">guide ~Q3 2026 close, ~</w:t>
            </w:r>
            <m:oMath>
              <m:r>
                <m:t>0.20</m:t>
              </m:r>
              <m:r>
                <m:rPr>
                  <m:sty m:val="p"/>
                </m:rPr>
                <m:t>/</m:t>
              </m:r>
              <m:r>
                <m:t>q</m:t>
              </m:r>
              <m:r>
                <m:t>t</m:t>
              </m:r>
              <m:r>
                <m:t>r</m:t>
              </m:r>
              <m:r>
                <m:t>d</m:t>
              </m:r>
              <m:r>
                <m:t>i</m:t>
              </m:r>
              <m:r>
                <m:t>l</m:t>
              </m:r>
              <m:r>
                <m:t>u</m:t>
              </m:r>
              <m:r>
                <m:t>t</m:t>
              </m:r>
              <m:r>
                <m:t>i</m:t>
              </m:r>
              <m:r>
                <m:t>o</m:t>
              </m:r>
              <m:r>
                <m:t>n</m:t>
              </m:r>
              <m:r>
                <m:t>v</m:t>
              </m:r>
              <m:r>
                <m:t>s</m:t>
              </m:r>
              <m:r>
                <m:rPr>
                  <m:sty m:val="p"/>
                </m:rPr>
                <m:t>.</m:t>
              </m:r>
              <m:r>
                <m:t>c</m:t>
              </m:r>
              <m:r>
                <m:t>o</m:t>
              </m:r>
              <m:r>
                <m:t>n</m:t>
              </m:r>
              <m:r>
                <m:t>s</m:t>
              </m:r>
              <m:r>
                <m:t> </m:t>
              </m:r>
              <m:r>
                <m:t>Q</m:t>
              </m:r>
              <m:r>
                <m:t>3</m:t>
              </m:r>
              <m:r>
                <m:t>2026</m:t>
              </m:r>
              <m:r>
                <m:t>c</m:t>
              </m:r>
              <m:r>
                <m:t>l</m:t>
              </m:r>
              <m:r>
                <m:t>o</m:t>
              </m:r>
              <m:r>
                <m:t>s</m:t>
              </m:r>
              <m:r>
                <m:t>e</m:t>
              </m:r>
              <m:r>
                <m:rPr>
                  <m:sty m:val="p"/>
                </m:rPr>
                <m:t>,</m:t>
              </m:r>
              <m:r>
                <m:t> </m:t>
              </m:r>
            </m:oMath>
            <w:r>
              <w:t xml:space="preserve">0.20/qtr dilution (H2 2026)</w:t>
            </w:r>
          </w:p>
        </w:tc>
        <w:tc>
          <w:tcPr/>
          <w:p>
            <w:pPr>
              <w:pStyle w:val="Compact"/>
            </w:pPr>
            <w:r>
              <w:t xml:space="preserve">MEDIUM</w:t>
            </w:r>
          </w:p>
        </w:tc>
      </w:tr>
      <w:tr>
        <w:tc>
          <w:tcPr/>
          <w:p>
            <w:pPr>
              <w:pStyle w:val="Compact"/>
            </w:pPr>
            <w:r>
              <w:t xml:space="preserve">ECL</w:t>
            </w:r>
          </w:p>
        </w:tc>
        <w:tc>
          <w:tcPr/>
          <w:p>
            <w:pPr>
              <w:pStyle w:val="Compact"/>
            </w:pPr>
            <w:r>
              <w:t xml:space="preserve">Return</w:t>
            </w:r>
          </w:p>
        </w:tc>
        <w:tc>
          <w:tcPr/>
          <w:p>
            <w:pPr>
              <w:pStyle w:val="Compact"/>
            </w:pPr>
            <w:r>
              <w:t xml:space="preserve">Day-1 residual (stock − beta × S&amp;P 500)</w:t>
            </w:r>
          </w:p>
        </w:tc>
        <w:tc>
          <w:tcPr/>
          <w:p>
            <w:pPr>
              <w:pStyle w:val="Compact"/>
            </w:pPr>
            <w:r>
              <w:t xml:space="preserve">+1.2%</w:t>
            </w:r>
          </w:p>
        </w:tc>
        <w:tc>
          <w:tcPr/>
          <w:p>
            <w:pPr>
              <w:pStyle w:val="Compact"/>
            </w:pPr>
            <w:r>
              <w:t xml:space="preserve">—</w:t>
            </w:r>
          </w:p>
        </w:tc>
        <w:tc>
          <w:tcPr/>
          <w:p>
            <w:pPr>
              <w:pStyle w:val="Compact"/>
            </w:pPr>
            <w:r>
              <w:t xml:space="preserve">MEDIUM</w:t>
            </w:r>
          </w:p>
        </w:tc>
      </w:tr>
      <w:tr>
        <w:tc>
          <w:tcPr/>
          <w:p>
            <w:pPr>
              <w:pStyle w:val="Compact"/>
            </w:pPr>
            <w:r>
              <w:t xml:space="preserve">ECL</w:t>
            </w:r>
          </w:p>
        </w:tc>
        <w:tc>
          <w:tcPr/>
          <w:p>
            <w:pPr>
              <w:pStyle w:val="Compact"/>
            </w:pPr>
            <w:r>
              <w:t xml:space="preserve">Return</w:t>
            </w:r>
          </w:p>
        </w:tc>
        <w:tc>
          <w:tcPr/>
          <w:p>
            <w:pPr>
              <w:pStyle w:val="Compact"/>
            </w:pPr>
            <w:r>
              <w:t xml:space="preserve">5-day cumulative residual</w:t>
            </w:r>
          </w:p>
        </w:tc>
        <w:tc>
          <w:tcPr/>
          <w:p>
            <w:pPr>
              <w:pStyle w:val="Compact"/>
            </w:pPr>
            <w:r>
              <w:t xml:space="preserve">-0.3% (FADE)</w:t>
            </w:r>
          </w:p>
        </w:tc>
        <w:tc>
          <w:tcPr/>
          <w:p>
            <w:pPr>
              <w:pStyle w:val="Compact"/>
            </w:pPr>
            <w:r>
              <w:t xml:space="preserve">Initial relief from an EPS print inside/above the guided</w:t>
            </w:r>
            <w:r>
              <w:t xml:space="preserve"> </w:t>
            </w:r>
            <m:oMath>
              <m:r>
                <m:t>2.02</m:t>
              </m:r>
              <m:r>
                <m:rPr>
                  <m:sty m:val="p"/>
                </m:rPr>
                <m:t>−</m:t>
              </m:r>
            </m:oMath>
            <w:r>
              <w:t xml:space="preserve">2.12 range and a reaffirmed FY26 EPS/H2 organic growth algorithm likely triggers short-covering given depressed positioning (negative Zacks rank, stock down from $283 to $271 into the print). But with adjusted operating margin likely landing at the low end (surcharge realization still ramping, gross margin only just troughing) and FY guidance merely reiterated rather than raised, sell-side models keep H2 estimates roughly flat-to-cautious on the back-half acceleration assumption; at ~33x forward earnings there's little room for anything less than clean execution, so the initial pop fades over the week as analysts probe pricing/cost offset durability and CoolIT dilution math rather than upgrade numbers.</w:t>
            </w:r>
          </w:p>
        </w:tc>
        <w:tc>
          <w:tcPr/>
          <w:p>
            <w:pPr>
              <w:pStyle w:val="Compact"/>
            </w:pPr>
            <w:r>
              <w:t xml:space="preserve">LOW</w:t>
            </w:r>
          </w:p>
        </w:tc>
      </w:tr>
    </w:tbl>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2026-07-28T01:04:58Z</dcterms:created>
  <dcterms:modified xsi:type="dcterms:W3CDTF">2026-07-28T01:04:58Z</dcterms:modified>
</cp:coreProperties>
</file>

<file path=docProps/custom.xml><?xml version="1.0" encoding="utf-8"?>
<Properties xmlns="http://schemas.openxmlformats.org/officeDocument/2006/custom-properties" xmlns:vt="http://schemas.openxmlformats.org/officeDocument/2006/docPropsVTypes"/>
</file>