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ecolab-inc-ecl--q2-2026-earnings-preview"/>
    <w:p>
      <w:pPr>
        <w:pStyle w:val="Heading1"/>
      </w:pPr>
      <w:r>
        <w:t xml:space="preserve">Ecolab Inc. (ECL) — Q2 2026 Earnings Preview</w:t>
      </w:r>
    </w:p>
    <w:p>
      <w:pPr>
        <w:pStyle w:val="FirstParagraph"/>
      </w:pPr>
      <w:r>
        <w:rPr>
          <w:b/>
          <w:bCs/>
        </w:rPr>
        <w:t xml:space="preserve">Report date:</w:t>
      </w:r>
      <w:r>
        <w:t xml:space="preserve"> </w:t>
      </w:r>
      <w:r>
        <w:t xml:space="preserve">July 28, 2026 (before market open) |</w:t>
      </w:r>
      <w:r>
        <w:t xml:space="preserve"> </w:t>
      </w:r>
      <w:r>
        <w:rPr>
          <w:b/>
          <w:bCs/>
        </w:rPr>
        <w:t xml:space="preserve">Call:</w:t>
      </w:r>
      <w:r>
        <w:t xml:space="preserve"> </w:t>
      </w:r>
      <w:r>
        <w:t xml:space="preserve">1:00 p.m. ET</w:t>
      </w:r>
    </w:p>
    <w:p>
      <w:r>
        <w:pict>
          <v:rect style="width:0;height:1.5pt" o:hralign="center" o:hrstd="t" o:hr="t"/>
        </w:pict>
      </w:r>
    </w:p>
    <w:bookmarkStart w:id="9" w:name="setup-a-transition-quarter-by-design"/>
    <w:p>
      <w:pPr>
        <w:pStyle w:val="Heading2"/>
      </w:pPr>
      <w:r>
        <w:t xml:space="preserve">Setup: A "Transition Quarter" By Design</w:t>
      </w:r>
    </w:p>
    <w:p>
      <w:pPr>
        <w:pStyle w:val="FirstParagraph"/>
      </w:pPr>
      <w:r>
        <w:t xml:space="preserve">Ecolab enters this print with unusually explicit guardrails from management. On the Q1 call, CEO Christophe Beck and CFO Scott Kirkland told investors to expect Q2 to be the trough of a self-inflicted margin squeeze: a sudden spike in energy-linked commodity costs (driven by the Middle East conflict) that the company is offsetting with a newly implemented "energy surcharge," with the benefit building through the quarter rather than showing up immediately. Specifically, Ecolab guided to</w:t>
      </w:r>
      <w:r>
        <w:t xml:space="preserve"> </w:t>
      </w:r>
      <w:r>
        <w:rPr>
          <w:b/>
          <w:bCs/>
        </w:rPr>
        <w:t xml:space="preserve">Q2 adjusted EPS of</w:t>
      </w:r>
      <w:r>
        <w:rPr>
          <w:b/>
          <w:bCs/>
        </w:rPr>
        <w:t xml:space="preserve"> </w:t>
      </w:r>
      <m:oMath>
        <m:r>
          <m:t>2.02</m:t>
        </m:r>
        <m:r>
          <m:rPr>
            <m:sty m:val="p"/>
          </m:rPr>
          <m:t>–</m:t>
        </m:r>
      </m:oMath>
      <w:r>
        <w:rPr>
          <w:b/>
          <w:bCs/>
        </w:rPr>
        <w:t xml:space="preserve">2.12 (+7% to 12% y/y)</w:t>
      </w:r>
      <w:r>
        <w:t xml:space="preserve"> </w:t>
      </w:r>
      <w:r>
        <w:t xml:space="preserve">— notably below its usual 12–15% algorithm — while reiterating</w:t>
      </w:r>
      <w:r>
        <w:t xml:space="preserve"> </w:t>
      </w:r>
      <w:r>
        <w:rPr>
          <w:b/>
          <w:bCs/>
        </w:rPr>
        <w:t xml:space="preserve">full-year adjusted EPS of</w:t>
      </w:r>
      <w:r>
        <w:rPr>
          <w:b/>
          <w:bCs/>
        </w:rPr>
        <w:t xml:space="preserve"> </w:t>
      </w:r>
      <m:oMath>
        <m:r>
          <m:t>8.43</m:t>
        </m:r>
        <m:r>
          <m:rPr>
            <m:sty m:val="p"/>
          </m:rPr>
          <m:t>–</m:t>
        </m:r>
      </m:oMath>
      <w:r>
        <w:rPr>
          <w:b/>
          <w:bCs/>
        </w:rPr>
        <w:t xml:space="preserve">8.63 (+12–15%)</w:t>
      </w:r>
      <w:r>
        <w:t xml:space="preserve">, excluding the pending CoolIT acquisition.</w:t>
      </w:r>
    </w:p>
    <w:p>
      <w:pPr>
        <w:pStyle w:val="BodyText"/>
      </w:pPr>
      <w:r>
        <w:t xml:space="preserve">Wall Street consensus sits at</w:t>
      </w:r>
      <w:r>
        <w:t xml:space="preserve"> </w:t>
      </w:r>
      <m:oMath>
        <m:r>
          <m:t>2.08</m:t>
        </m:r>
        <m:r>
          <m:t>E</m:t>
        </m:r>
        <m:r>
          <m:t>P</m:t>
        </m:r>
        <m:r>
          <m:t>S</m:t>
        </m:r>
        <m:r>
          <m:rPr>
            <m:sty m:val="p"/>
          </m:rPr>
          <m:t>(</m:t>
        </m:r>
        <m:r>
          <m:rPr>
            <m:sty m:val="p"/>
          </m:rPr>
          <m:t>+</m:t>
        </m:r>
        <m:r>
          <m:t>10.1</m:t>
        </m:r>
      </m:oMath>
      <w:r>
        <w:rPr>
          <w:b/>
          <w:bCs/>
        </w:rPr>
        <w:t xml:space="preserve">4.4 billion (+9.3% y/y)</w:t>
      </w:r>
      <w:r>
        <w:t xml:space="preserve">, squarely inside guidance but toward the lower-middle of the range. Notably, the consensus quarterly EPS figure was</w:t>
      </w:r>
      <w:r>
        <w:t xml:space="preserve"> </w:t>
      </w:r>
      <w:r>
        <w:rPr>
          <w:b/>
          <w:bCs/>
        </w:rPr>
        <w:t xml:space="preserve">cut by roughly 8% in the 30 days leading into the print</w:t>
      </w:r>
      <w:r>
        <w:t xml:space="preserve">, reflecting growing caution about the pace of cost pass-through even though the number still implies healthy double-digit growth. Sell-side quant screens (Zacks) currently carry a negative rank on the stock heading into the print, though this reflects the estimate-revision trend rather than a directional call on the actual results.</w:t>
      </w:r>
    </w:p>
    <w:bookmarkEnd w:id="9"/>
    <w:bookmarkStart w:id="10" w:name="X7c6b1bc2d9f6508ecd2630bf1681dae127800ee"/>
    <w:p>
      <w:pPr>
        <w:pStyle w:val="Heading2"/>
      </w:pPr>
      <w:r>
        <w:t xml:space="preserve">What Drove Last Quarter — And What It Means for This One</w:t>
      </w:r>
    </w:p>
    <w:p>
      <w:pPr>
        <w:pStyle w:val="FirstParagraph"/>
      </w:pPr>
      <w:r>
        <w:t xml:space="preserve">Q1 2026 was strong on its face:</w:t>
      </w:r>
      <w:r>
        <w:t xml:space="preserve"> </w:t>
      </w:r>
      <w:r>
        <w:rPr>
          <w:b/>
          <w:bCs/>
        </w:rPr>
        <w:t xml:space="preserve">reported sales of $4.1 billion (+10%)</w:t>
      </w:r>
      <w:r>
        <w:t xml:space="preserve">,</w:t>
      </w:r>
      <w:r>
        <w:t xml:space="preserve"> </w:t>
      </w:r>
      <w:r>
        <w:rPr>
          <w:b/>
          <w:bCs/>
        </w:rPr>
        <w:t xml:space="preserve">organic sales growth accelerating to 4%</w:t>
      </w:r>
      <w:r>
        <w:t xml:space="preserve"> </w:t>
      </w:r>
      <w:r>
        <w:t xml:space="preserve">(3% pricing, 1% volume), and</w:t>
      </w:r>
      <w:r>
        <w:t xml:space="preserve"> </w:t>
      </w:r>
      <w:r>
        <w:rPr>
          <w:b/>
          <w:bCs/>
        </w:rPr>
        <w:t xml:space="preserve">adjusted diluted EPS of $1.70 (+13%)</w:t>
      </w:r>
      <w:r>
        <w:t xml:space="preserve">, with organic operating income margin up 70 bps to 16.8%. Management's framing for Q2 has been consistent and specific:</w:t>
      </w:r>
    </w:p>
    <w:p>
      <w:pPr>
        <w:pStyle w:val="Compact"/>
        <w:numPr>
          <w:ilvl w:val="0"/>
          <w:numId w:val="1001"/>
        </w:numPr>
      </w:pPr>
      <w:r>
        <w:rPr>
          <w:b/>
          <w:bCs/>
        </w:rPr>
        <w:t xml:space="preserve">Commodity costs</w:t>
      </w:r>
      <w:r>
        <w:t xml:space="preserve"> </w:t>
      </w:r>
      <w:r>
        <w:t xml:space="preserve">were expected to jump</w:t>
      </w:r>
      <w:r>
        <w:t xml:space="preserve"> </w:t>
      </w:r>
      <w:r>
        <w:rPr>
          <w:b/>
          <w:bCs/>
        </w:rPr>
        <w:t xml:space="preserve">high-single-digits starting in Q2</w:t>
      </w:r>
      <w:r>
        <w:t xml:space="preserve"> </w:t>
      </w:r>
      <w:r>
        <w:t xml:space="preserve">and stay elevated through year-end, with about a third of Ecolab's raw material basket exposed to energy costs.</w:t>
      </w:r>
    </w:p>
    <w:p>
      <w:pPr>
        <w:pStyle w:val="Compact"/>
        <w:numPr>
          <w:ilvl w:val="0"/>
          <w:numId w:val="1001"/>
        </w:numPr>
      </w:pPr>
      <w:r>
        <w:t xml:space="preserve">The</w:t>
      </w:r>
      <w:r>
        <w:t xml:space="preserve"> </w:t>
      </w:r>
      <w:r>
        <w:rPr>
          <w:b/>
          <w:bCs/>
        </w:rPr>
        <w:t xml:space="preserve">energy surcharge</w:t>
      </w:r>
      <w:r>
        <w:t xml:space="preserve">, rolled out April 1 across "100% of customers in 100% of businesses in 100% of countries," was expected to be largely implemented by end of Q2/early Q3, with dollar-for-dollar offset of the cost increase achieved as the company</w:t>
      </w:r>
      <w:r>
        <w:t xml:space="preserve"> </w:t>
      </w:r>
      <w:r>
        <w:rPr>
          <w:b/>
          <w:bCs/>
        </w:rPr>
        <w:t xml:space="preserve">exits Q2</w:t>
      </w:r>
      <w:r>
        <w:t xml:space="preserve">.</w:t>
      </w:r>
    </w:p>
    <w:p>
      <w:pPr>
        <w:pStyle w:val="Compact"/>
        <w:numPr>
          <w:ilvl w:val="0"/>
          <w:numId w:val="1001"/>
        </w:numPr>
      </w:pPr>
      <w:r>
        <w:t xml:space="preserve">Second-half organic sales growth is guided to</w:t>
      </w:r>
      <w:r>
        <w:t xml:space="preserve"> </w:t>
      </w:r>
      <w:r>
        <w:rPr>
          <w:b/>
          <w:bCs/>
        </w:rPr>
        <w:t xml:space="preserve">accelerate to 6–7%</w:t>
      </w:r>
      <w:r>
        <w:t xml:space="preserve">, with gross margin stabilizing (and up 70–80 bps ex-Ovivo), setting up a stronger Q3/Q4 EPS cadence.</w:t>
      </w:r>
    </w:p>
    <w:p>
      <w:pPr>
        <w:pStyle w:val="FirstParagraph"/>
      </w:pPr>
      <w:r>
        <w:t xml:space="preserve">The key swing factor for tomorrow's print is simply</w:t>
      </w:r>
      <w:r>
        <w:t xml:space="preserve"> </w:t>
      </w:r>
      <w:r>
        <w:rPr>
          <w:b/>
          <w:bCs/>
        </w:rPr>
        <w:t xml:space="preserve">how much of that surcharge benefit has already landed</w:t>
      </w:r>
      <w:r>
        <w:t xml:space="preserve"> </w:t>
      </w:r>
      <w:r>
        <w:t xml:space="preserve">— if pricing realization is ahead of plan, EPS should land toward the high end of (or above) the</w:t>
      </w:r>
      <w:r>
        <w:t xml:space="preserve"> </w:t>
      </w:r>
      <m:oMath>
        <m:r>
          <m:t>2.02</m:t>
        </m:r>
        <m:r>
          <m:rPr>
            <m:sty m:val="p"/>
          </m:rPr>
          <m:t>–</m:t>
        </m:r>
      </m:oMath>
      <w:r>
        <w:t xml:space="preserve">2.12 range; if the transition is slower, watch for compressed gross margin and a full-year reaffirmation that leans on H2.</w:t>
      </w:r>
    </w:p>
    <w:bookmarkEnd w:id="10"/>
    <w:bookmarkStart w:id="11" w:name="segment-watch-list"/>
    <w:p>
      <w:pPr>
        <w:pStyle w:val="Heading2"/>
      </w:pPr>
      <w:r>
        <w:t xml:space="preserve">Segment Watch List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Segment</w:t>
            </w:r>
          </w:p>
        </w:tc>
        <w:tc>
          <w:tcPr/>
          <w:p>
            <w:pPr>
              <w:pStyle w:val="Compact"/>
            </w:pPr>
            <w:r>
              <w:t xml:space="preserve">Q1 2026 Organic Growth</w:t>
            </w:r>
          </w:p>
        </w:tc>
        <w:tc>
          <w:tcPr/>
          <w:p>
            <w:pPr>
              <w:pStyle w:val="Compact"/>
            </w:pPr>
            <w:r>
              <w:t xml:space="preserve">What to Watch in Q2</w:t>
            </w:r>
          </w:p>
        </w:tc>
      </w:tr>
      <w:tr>
        <w:tc>
          <w:tcPr/>
          <w:p>
            <w:pPr>
              <w:pStyle w:val="Compact"/>
            </w:pPr>
            <w:r>
              <w:t xml:space="preserve">Global Water (ex Paper/Heavy Water)</w:t>
            </w:r>
          </w:p>
        </w:tc>
        <w:tc>
          <w:tcPr/>
          <w:p>
            <w:pPr>
              <w:pStyle w:val="Compact"/>
            </w:pPr>
            <w:r>
              <w:t xml:space="preserve">Water overall +2% organic; Global High-Tech +20%+</w:t>
            </w:r>
          </w:p>
        </w:tc>
        <w:tc>
          <w:tcPr/>
          <w:p>
            <w:pPr>
              <w:pStyle w:val="Compact"/>
            </w:pPr>
            <w:r>
              <w:t xml:space="preserve">Continued High-Tech/AI data-center and microelectronics strength (Ovivo ultra-pure water); further stabilization in Paper and Heavy Water, which have been a drag</w:t>
            </w:r>
          </w:p>
        </w:tc>
      </w:tr>
      <w:tr>
        <w:tc>
          <w:tcPr/>
          <w:p>
            <w:pPr>
              <w:pStyle w:val="Compact"/>
            </w:pPr>
            <w:r>
              <w:t xml:space="preserve">Global Institutional &amp; Specialty</w:t>
            </w:r>
          </w:p>
        </w:tc>
        <w:tc>
          <w:tcPr/>
          <w:p>
            <w:pPr>
              <w:pStyle w:val="Compact"/>
            </w:pPr>
            <w:r>
              <w:t xml:space="preserve">+4% organic; Specialty +9%</w:t>
            </w:r>
          </w:p>
        </w:tc>
        <w:tc>
          <w:tcPr/>
          <w:p>
            <w:pPr>
              <w:pStyle w:val="Compact"/>
            </w:pPr>
            <w:r>
              <w:t xml:space="preserve">Restaurant/lodging demand trends, further margin gains (23% OI margin in Q1)</w:t>
            </w:r>
          </w:p>
        </w:tc>
      </w:tr>
      <w:tr>
        <w:tc>
          <w:tcPr/>
          <w:p>
            <w:pPr>
              <w:pStyle w:val="Compact"/>
            </w:pPr>
            <w:r>
              <w:t xml:space="preserve">Global Pest Elimination</w:t>
            </w:r>
          </w:p>
        </w:tc>
        <w:tc>
          <w:tcPr/>
          <w:p>
            <w:pPr>
              <w:pStyle w:val="Compact"/>
            </w:pPr>
            <w:r>
              <w:t xml:space="preserve">+7% organic</w:t>
            </w:r>
          </w:p>
        </w:tc>
        <w:tc>
          <w:tcPr/>
          <w:p>
            <w:pPr>
              <w:pStyle w:val="Compact"/>
            </w:pPr>
            <w:r>
              <w:t xml:space="preserve">Pest Intelligence rollout (targeting ~1 million connected devices by year-end) and margin leverage</w:t>
            </w:r>
          </w:p>
        </w:tc>
      </w:tr>
      <w:tr>
        <w:tc>
          <w:tcPr/>
          <w:p>
            <w:pPr>
              <w:pStyle w:val="Compact"/>
            </w:pPr>
            <w:r>
              <w:t xml:space="preserve">Global Life Sciences</w:t>
            </w:r>
          </w:p>
        </w:tc>
        <w:tc>
          <w:tcPr/>
          <w:p>
            <w:pPr>
              <w:pStyle w:val="Compact"/>
            </w:pPr>
            <w:r>
              <w:t xml:space="preserve">+11% organic, bioprocessing &gt;2x</w:t>
            </w:r>
          </w:p>
        </w:tc>
        <w:tc>
          <w:tcPr/>
          <w:p>
            <w:pPr>
              <w:pStyle w:val="Compact"/>
            </w:pPr>
            <w:r>
              <w:t xml:space="preserve">Whether double-digit growth and margin expansion toward the 30% long-term target continues; capacity additions from a new plant opening in H2</w:t>
            </w:r>
          </w:p>
        </w:tc>
      </w:tr>
    </w:tbl>
    <w:p>
      <w:pPr>
        <w:pStyle w:val="BodyText"/>
      </w:pPr>
      <w:r>
        <w:t xml:space="preserve">Analyst consensus models call for further acceleration across these growth engines — Street estimates point to</w:t>
      </w:r>
      <w:r>
        <w:t xml:space="preserve"> </w:t>
      </w:r>
      <w:r>
        <w:rPr>
          <w:b/>
          <w:bCs/>
        </w:rPr>
        <w:t xml:space="preserve">Global Life Sciences sales up ~18% y/y, Global Water up ~16%, Pest Elimination up ~12%, and Institutional &amp; Specialty up ~9%</w:t>
      </w:r>
      <w:r>
        <w:t xml:space="preserve"> </w:t>
      </w:r>
      <w:r>
        <w:t xml:space="preserve">for the quarter, consistent with management's narrative that its "growth engines" (Global High-Tech, Life Sciences, Pest Elimination, Digital) are becoming a larger, faster-growing, higher-margin share of the portfolio.</w:t>
      </w:r>
    </w:p>
    <w:bookmarkEnd w:id="11"/>
    <w:bookmarkStart w:id="12" w:name="the-coolit-overhang--timing-and-dilution"/>
    <w:p>
      <w:pPr>
        <w:pStyle w:val="Heading2"/>
      </w:pPr>
      <w:r>
        <w:t xml:space="preserve">The CoolIT Overhang — Timing and Dilution</w:t>
      </w:r>
    </w:p>
    <w:p>
      <w:pPr>
        <w:pStyle w:val="FirstParagraph"/>
      </w:pPr>
      <w:r>
        <w:t xml:space="preserve">Ecolab's</w:t>
      </w:r>
      <w:r>
        <w:t xml:space="preserve"> </w:t>
      </w:r>
      <m:oMath>
        <m:r>
          <m:t>4.75</m:t>
        </m:r>
        <m:r>
          <m:t>b</m:t>
        </m:r>
        <m:r>
          <m:t>i</m:t>
        </m:r>
        <m:r>
          <m:t>l</m:t>
        </m:r>
        <m:r>
          <m:t>l</m:t>
        </m:r>
        <m:r>
          <m:t>i</m:t>
        </m:r>
        <m:r>
          <m:t>o</m:t>
        </m:r>
        <m:r>
          <m:t>n</m:t>
        </m:r>
        <m:r>
          <m:t>a</m:t>
        </m:r>
        <m:r>
          <m:t>l</m:t>
        </m:r>
        <m:r>
          <m:t>l</m:t>
        </m:r>
        <m:r>
          <m:rPr>
            <m:sty m:val="p"/>
          </m:rPr>
          <m:t>−</m:t>
        </m:r>
        <m:r>
          <m:t>c</m:t>
        </m:r>
        <m:r>
          <m:t>a</m:t>
        </m:r>
        <m:r>
          <m:t>s</m:t>
        </m:r>
        <m:r>
          <m:t>h</m:t>
        </m:r>
        <m:r>
          <m:t>a</m:t>
        </m:r>
        <m:r>
          <m:t>c</m:t>
        </m:r>
        <m:r>
          <m:t>q</m:t>
        </m:r>
        <m:r>
          <m:t>u</m:t>
        </m:r>
        <m:r>
          <m:t>i</m:t>
        </m:r>
        <m:r>
          <m:t>s</m:t>
        </m:r>
        <m:r>
          <m:t>i</m:t>
        </m:r>
        <m:r>
          <m:t>t</m:t>
        </m:r>
        <m:r>
          <m:t>i</m:t>
        </m:r>
        <m:r>
          <m:t>o</m:t>
        </m:r>
        <m:r>
          <m:t>n</m:t>
        </m:r>
        <m:r>
          <m:t>o</m:t>
        </m:r>
        <m:r>
          <m:t>f</m:t>
        </m:r>
        <m:r>
          <m:t>C</m:t>
        </m:r>
        <m:r>
          <m:t>o</m:t>
        </m:r>
        <m:r>
          <m:t>o</m:t>
        </m:r>
        <m:r>
          <m:t>l</m:t>
        </m:r>
        <m:r>
          <m:t>I</m:t>
        </m:r>
        <m:r>
          <m:t>T</m:t>
        </m:r>
        <m:r>
          <m:t>S</m:t>
        </m:r>
        <m:r>
          <m:t>y</m:t>
        </m:r>
        <m:r>
          <m:t>s</m:t>
        </m:r>
        <m:r>
          <m:t>t</m:t>
        </m:r>
        <m:r>
          <m:t>e</m:t>
        </m:r>
        <m:r>
          <m:t>m</m:t>
        </m:r>
        <m:r>
          <m:t>s</m:t>
        </m:r>
        <m:r>
          <m:rPr>
            <m:sty m:val="p"/>
          </m:rPr>
          <m:t>*</m:t>
        </m:r>
        <m:r>
          <m:rPr>
            <m:sty m:val="p"/>
          </m:rPr>
          <m:t>*</m:t>
        </m:r>
        <m:r>
          <m:rPr>
            <m:sty m:val="p"/>
          </m:rPr>
          <m:t>(</m:t>
        </m:r>
        <m:r>
          <m:t>a</m:t>
        </m:r>
        <m:r>
          <m:t>l</m:t>
        </m:r>
        <m:r>
          <m:t>i</m:t>
        </m:r>
        <m:r>
          <m:t>q</m:t>
        </m:r>
        <m:r>
          <m:t>u</m:t>
        </m:r>
        <m:r>
          <m:t>i</m:t>
        </m:r>
        <m:r>
          <m:t>d</m:t>
        </m:r>
        <m:r>
          <m:rPr>
            <m:sty m:val="p"/>
          </m:rPr>
          <m:t>−</m:t>
        </m:r>
        <m:r>
          <m:t>c</m:t>
        </m:r>
        <m:r>
          <m:t>o</m:t>
        </m:r>
        <m:r>
          <m:t>o</m:t>
        </m:r>
        <m:r>
          <m:t>l</m:t>
        </m:r>
        <m:r>
          <m:t>i</m:t>
        </m:r>
        <m:r>
          <m:t>n</m:t>
        </m:r>
        <m:r>
          <m:t>g</m:t>
        </m:r>
        <m:r>
          <m:t>p</m:t>
        </m:r>
        <m:r>
          <m:t>l</m:t>
        </m:r>
        <m:r>
          <m:t>a</m:t>
        </m:r>
        <m:r>
          <m:t>t</m:t>
        </m:r>
        <m:r>
          <m:t>f</m:t>
        </m:r>
        <m:r>
          <m:t>o</m:t>
        </m:r>
        <m:r>
          <m:t>r</m:t>
        </m:r>
        <m:r>
          <m:t>m</m:t>
        </m:r>
        <m:r>
          <m:t>f</m:t>
        </m:r>
        <m:r>
          <m:t>o</m:t>
        </m:r>
        <m:r>
          <m:t>r</m:t>
        </m:r>
        <m:r>
          <m:t>A</m:t>
        </m:r>
        <m:r>
          <m:t>I</m:t>
        </m:r>
        <m:r>
          <m:t>d</m:t>
        </m:r>
        <m:r>
          <m:t>a</m:t>
        </m:r>
        <m:r>
          <m:t>t</m:t>
        </m:r>
        <m:r>
          <m:t>a</m:t>
        </m:r>
        <m:r>
          <m:t>c</m:t>
        </m:r>
        <m:r>
          <m:t>e</m:t>
        </m:r>
        <m:r>
          <m:t>n</m:t>
        </m:r>
        <m:r>
          <m:t>t</m:t>
        </m:r>
        <m:r>
          <m:t>e</m:t>
        </m:r>
        <m:r>
          <m:t>r</m:t>
        </m:r>
        <m:r>
          <m:t>s</m:t>
        </m:r>
        <m:r>
          <m:rPr>
            <m:sty m:val="p"/>
          </m:rPr>
          <m:t>,</m:t>
        </m:r>
        <m:r>
          <m:t>v</m:t>
        </m:r>
        <m:r>
          <m:t>a</m:t>
        </m:r>
        <m:r>
          <m:t>l</m:t>
        </m:r>
        <m:r>
          <m:t>u</m:t>
        </m:r>
        <m:r>
          <m:t>e</m:t>
        </m:r>
        <m:r>
          <m:t>d</m:t>
        </m:r>
        <m:r>
          <m:t>a</m:t>
        </m:r>
        <m:r>
          <m:t>t</m:t>
        </m:r>
        <m:r>
          <m:t>r</m:t>
        </m:r>
        <m:r>
          <m:t>o</m:t>
        </m:r>
        <m:r>
          <m:t>u</m:t>
        </m:r>
        <m:r>
          <m:t>g</m:t>
        </m:r>
        <m:r>
          <m:t>h</m:t>
        </m:r>
        <m:r>
          <m:t>l</m:t>
        </m:r>
        <m:r>
          <m:t>y</m:t>
        </m:r>
        <m:r>
          <m:t>29</m:t>
        </m:r>
        <m:r>
          <m:t>x</m:t>
        </m:r>
        <m:r>
          <m:t>N</m:t>
        </m:r>
        <m:r>
          <m:t>T</m:t>
        </m:r>
        <m:r>
          <m:t>M</m:t>
        </m:r>
        <m:r>
          <m:t>E</m:t>
        </m:r>
        <m:r>
          <m:t>B</m:t>
        </m:r>
        <m:r>
          <m:t>I</m:t>
        </m:r>
        <m:r>
          <m:t>T</m:t>
        </m:r>
        <m:r>
          <m:t>D</m:t>
        </m:r>
        <m:r>
          <m:t>A</m:t>
        </m:r>
        <m:r>
          <m:rPr>
            <m:sty m:val="p"/>
          </m:rPr>
          <m:t>)</m:t>
        </m:r>
        <m:r>
          <m:t>r</m:t>
        </m:r>
        <m:r>
          <m:t>e</m:t>
        </m:r>
        <m:r>
          <m:t>m</m:t>
        </m:r>
        <m:r>
          <m:t>a</m:t>
        </m:r>
        <m:r>
          <m:t>i</m:t>
        </m:r>
        <m:r>
          <m:t>n</m:t>
        </m:r>
        <m:r>
          <m:t>s</m:t>
        </m:r>
        <m:r>
          <m:t>p</m:t>
        </m:r>
        <m:r>
          <m:t>e</m:t>
        </m:r>
        <m:r>
          <m:t>n</m:t>
        </m:r>
        <m:r>
          <m:t>d</m:t>
        </m:r>
        <m:r>
          <m:t>i</m:t>
        </m:r>
        <m:r>
          <m:t>n</m:t>
        </m:r>
        <m:r>
          <m:t>g</m:t>
        </m:r>
        <m:r>
          <m:t>r</m:t>
        </m:r>
        <m:r>
          <m:t>e</m:t>
        </m:r>
        <m:r>
          <m:t>g</m:t>
        </m:r>
        <m:r>
          <m:t>u</m:t>
        </m:r>
        <m:r>
          <m:t>l</m:t>
        </m:r>
        <m:r>
          <m:t>a</m:t>
        </m:r>
        <m:r>
          <m:t>t</m:t>
        </m:r>
        <m:r>
          <m:t>o</m:t>
        </m:r>
        <m:r>
          <m:t>r</m:t>
        </m:r>
        <m:r>
          <m:t>y</m:t>
        </m:r>
        <m:r>
          <m:t>a</m:t>
        </m:r>
        <m:r>
          <m:t>p</m:t>
        </m:r>
        <m:r>
          <m:t>p</m:t>
        </m:r>
        <m:r>
          <m:t>r</m:t>
        </m:r>
        <m:r>
          <m:t>o</m:t>
        </m:r>
        <m:r>
          <m:t>v</m:t>
        </m:r>
        <m:r>
          <m:t>a</m:t>
        </m:r>
        <m:r>
          <m:t>l</m:t>
        </m:r>
        <m:r>
          <m:rPr>
            <m:sty m:val="p"/>
          </m:rPr>
          <m:t>,</m:t>
        </m:r>
        <m:r>
          <m:t>w</m:t>
        </m:r>
        <m:r>
          <m:t>i</m:t>
        </m:r>
        <m:r>
          <m:t>t</m:t>
        </m:r>
        <m:r>
          <m:t>h</m:t>
        </m:r>
        <m:r>
          <m:t>m</m:t>
        </m:r>
        <m:r>
          <m:t>a</m:t>
        </m:r>
        <m:r>
          <m:t>n</m:t>
        </m:r>
        <m:r>
          <m:t>a</m:t>
        </m:r>
        <m:r>
          <m:t>g</m:t>
        </m:r>
        <m:r>
          <m:t>e</m:t>
        </m:r>
        <m:r>
          <m:t>m</m:t>
        </m:r>
        <m:r>
          <m:t>e</m:t>
        </m:r>
        <m:r>
          <m:t>n</m:t>
        </m:r>
        <m:r>
          <m:t>t</m:t>
        </m:r>
        <m:r>
          <m:t>t</m:t>
        </m:r>
        <m:r>
          <m:t>a</m:t>
        </m:r>
        <m:r>
          <m:t>r</m:t>
        </m:r>
        <m:r>
          <m:t>g</m:t>
        </m:r>
        <m:r>
          <m:t>e</m:t>
        </m:r>
        <m:r>
          <m:t>t</m:t>
        </m:r>
        <m:r>
          <m:t>i</m:t>
        </m:r>
        <m:r>
          <m:t>n</m:t>
        </m:r>
        <m:r>
          <m:t>g</m:t>
        </m:r>
        <m:r>
          <m:t>a</m:t>
        </m:r>
        <m:r>
          <m:rPr>
            <m:sty m:val="p"/>
          </m:rPr>
          <m:t>*</m:t>
        </m:r>
        <m:r>
          <m:rPr>
            <m:sty m:val="p"/>
          </m:rPr>
          <m:t>*</m:t>
        </m:r>
        <m:r>
          <m:t>t</m:t>
        </m:r>
        <m:r>
          <m:t>h</m:t>
        </m:r>
        <m:r>
          <m:t>i</m:t>
        </m:r>
        <m:r>
          <m:t>r</m:t>
        </m:r>
        <m:r>
          <m:t>d</m:t>
        </m:r>
        <m:r>
          <m:rPr>
            <m:sty m:val="p"/>
          </m:rPr>
          <m:t>−</m:t>
        </m:r>
        <m:r>
          <m:t>q</m:t>
        </m:r>
        <m:r>
          <m:t>u</m:t>
        </m:r>
        <m:r>
          <m:t>a</m:t>
        </m:r>
        <m:r>
          <m:t>r</m:t>
        </m:r>
        <m:r>
          <m:t>t</m:t>
        </m:r>
        <m:r>
          <m:t>e</m:t>
        </m:r>
        <m:r>
          <m:t>r</m:t>
        </m:r>
        <m:r>
          <m:t>2026</m:t>
        </m:r>
        <m:r>
          <m:t>c</m:t>
        </m:r>
        <m:r>
          <m:t>l</m:t>
        </m:r>
        <m:r>
          <m:t>o</m:t>
        </m:r>
        <m:r>
          <m:t>s</m:t>
        </m:r>
        <m:r>
          <m:t>e</m:t>
        </m:r>
        <m:r>
          <m:rPr>
            <m:sty m:val="p"/>
          </m:rPr>
          <m:t>*</m:t>
        </m:r>
        <m:r>
          <m:rPr>
            <m:sty m:val="p"/>
          </m:rPr>
          <m:t>*</m:t>
        </m:r>
        <m:r>
          <m:rPr>
            <m:sty m:val="p"/>
          </m:rPr>
          <m:t>.</m:t>
        </m:r>
        <m:r>
          <m:t>O</m:t>
        </m:r>
        <m:r>
          <m:t>n</m:t>
        </m:r>
        <m:r>
          <m:t>t</m:t>
        </m:r>
        <m:r>
          <m:t>h</m:t>
        </m:r>
        <m:r>
          <m:t>e</m:t>
        </m:r>
        <m:r>
          <m:t>Q</m:t>
        </m:r>
        <m:r>
          <m:t>1</m:t>
        </m:r>
        <m:r>
          <m:t>c</m:t>
        </m:r>
        <m:r>
          <m:t>a</m:t>
        </m:r>
        <m:r>
          <m:t>l</m:t>
        </m:r>
        <m:r>
          <m:t>l</m:t>
        </m:r>
        <m:r>
          <m:rPr>
            <m:sty m:val="p"/>
          </m:rPr>
          <m:t>,</m:t>
        </m:r>
        <m:r>
          <m:t>m</m:t>
        </m:r>
        <m:r>
          <m:t>a</m:t>
        </m:r>
        <m:r>
          <m:t>n</m:t>
        </m:r>
        <m:r>
          <m:t>a</m:t>
        </m:r>
        <m:r>
          <m:t>g</m:t>
        </m:r>
        <m:r>
          <m:t>e</m:t>
        </m:r>
        <m:r>
          <m:t>m</m:t>
        </m:r>
        <m:r>
          <m:t>e</m:t>
        </m:r>
        <m:r>
          <m:t>n</m:t>
        </m:r>
        <m:r>
          <m:t>t</m:t>
        </m:r>
        <m:r>
          <m:t>f</m:t>
        </m:r>
        <m:r>
          <m:t>l</m:t>
        </m:r>
        <m:r>
          <m:t>a</m:t>
        </m:r>
        <m:r>
          <m:t>g</m:t>
        </m:r>
        <m:r>
          <m:t>g</m:t>
        </m:r>
        <m:r>
          <m:t>e</m:t>
        </m:r>
        <m:r>
          <m:t>d</m:t>
        </m:r>
        <m:r>
          <m:t>C</m:t>
        </m:r>
        <m:r>
          <m:t>o</m:t>
        </m:r>
        <m:r>
          <m:t>o</m:t>
        </m:r>
        <m:r>
          <m:t>l</m:t>
        </m:r>
        <m:r>
          <m:t>I</m:t>
        </m:r>
        <m:r>
          <m:t>T</m:t>
        </m:r>
        <m:r>
          <m:t>w</m:t>
        </m:r>
        <m:r>
          <m:t>o</m:t>
        </m:r>
        <m:r>
          <m:t>u</m:t>
        </m:r>
        <m:r>
          <m:t>l</m:t>
        </m:r>
        <m:r>
          <m:t>d</m:t>
        </m:r>
        <m:r>
          <m:t>b</m:t>
        </m:r>
        <m:r>
          <m:t>e</m:t>
        </m:r>
        <m:r>
          <m:rPr>
            <m:sty m:val="p"/>
          </m:rPr>
          <m:t>*</m:t>
        </m:r>
        <m:r>
          <m:rPr>
            <m:sty m:val="p"/>
          </m:rPr>
          <m:t>*</m:t>
        </m:r>
        <m:r>
          <m:t> </m:t>
        </m:r>
      </m:oMath>
      <w:r>
        <w:rPr>
          <w:b/>
          <w:bCs/>
        </w:rPr>
        <w:t xml:space="preserve">0.20/quarter dilutive to adjusted EPS in the back half of 2026</w:t>
      </w:r>
      <w:r>
        <w:t xml:space="preserve"> </w:t>
      </w:r>
      <w:r>
        <w:t xml:space="preserve">(excluded from the</w:t>
      </w:r>
      <w:r>
        <w:t xml:space="preserve"> </w:t>
      </w:r>
      <m:oMath>
        <m:r>
          <m:t>8.43</m:t>
        </m:r>
        <m:r>
          <m:rPr>
            <m:sty m:val="p"/>
          </m:rPr>
          <m:t>–</m:t>
        </m:r>
      </m:oMath>
      <w:r>
        <w:t xml:space="preserve">8.63 FY guide) before turning EPS-accretive again in 2027 as Nalco-related amortization rolls off. Management also disclosed that CoolIT's own Q1 sales were tracking</w:t>
      </w:r>
      <w:r>
        <w:t xml:space="preserve"> </w:t>
      </w:r>
      <w:r>
        <w:rPr>
          <w:b/>
          <w:bCs/>
        </w:rPr>
        <w:t xml:space="preserve">"close to triple-digit" growth</w:t>
      </w:r>
      <w:r>
        <w:t xml:space="preserve">, well above the 30%+ base case used to size the deal. Investors should listen for: (1) confirmation the deal is still on track to close in Q3, (2) any update to the dilution math given CoolIT's outperformance, and (3) incremental color on the combined Global High-Tech "power house" (legacy water + Ovivo + CoolIT), which management has sized at roughly $1.5 billion in revenue growing 20–25%+.</w:t>
      </w:r>
    </w:p>
    <w:bookmarkEnd w:id="12"/>
    <w:bookmarkStart w:id="13" w:name="Xc857ab34dd6293f99637f746c210c94b004d1f5"/>
    <w:p>
      <w:pPr>
        <w:pStyle w:val="Heading2"/>
      </w:pPr>
      <w:r>
        <w:t xml:space="preserve">Margin Trajectory and the Path to 20% by 2027</w:t>
      </w:r>
    </w:p>
    <w:p>
      <w:pPr>
        <w:pStyle w:val="FirstParagraph"/>
      </w:pPr>
      <w:r>
        <w:t xml:space="preserve">Management has repeatedly stressed that the current cost spike is manageable and framed the 2022 commodity shock (+50% cost inflation, with margins ultimately expanding) as the playbook for today's more modest ~9% commodity inflation. The company still targets **~19% adjusted operating income margin for full-year 2026** (adjusted OI growth of 14–16%) and reaffirmed confidence in its</w:t>
      </w:r>
      <w:r>
        <w:t xml:space="preserve"> </w:t>
      </w:r>
      <w:r>
        <w:rPr>
          <w:b/>
          <w:bCs/>
        </w:rPr>
        <w:t xml:space="preserve">20% OI margin target for 2027</w:t>
      </w:r>
      <w:r>
        <w:t xml:space="preserve">, with SG&amp;A leverage (aided by digital/agentic productivity tools) expected to remain a structural tailwind (~100 bps for 2026, above the long-term 25–50 bps target).</w:t>
      </w:r>
    </w:p>
    <w:bookmarkEnd w:id="13"/>
    <w:bookmarkStart w:id="14" w:name="stock-and-sentiment-backdrop"/>
    <w:p>
      <w:pPr>
        <w:pStyle w:val="Heading2"/>
      </w:pPr>
      <w:r>
        <w:t xml:space="preserve">Stock and Sentiment Backdrop</w:t>
      </w:r>
    </w:p>
    <w:p>
      <w:pPr>
        <w:pStyle w:val="FirstParagraph"/>
      </w:pPr>
      <w:r>
        <w:t xml:space="preserve">ECL shares have been range-bound/soft in 2026, trading around</w:t>
      </w:r>
      <w:r>
        <w:t xml:space="preserve"> </w:t>
      </w:r>
      <w:r>
        <w:rPr>
          <w:b/>
          <w:bCs/>
        </w:rPr>
        <w:t xml:space="preserve">$271 heading into the print</w:t>
      </w:r>
      <w:r>
        <w:t xml:space="preserve"> </w:t>
      </w:r>
      <w:r>
        <w:t xml:space="preserve">versus a 52-week range of roughly</w:t>
      </w:r>
      <w:r>
        <w:t xml:space="preserve"> </w:t>
      </w:r>
      <m:oMath>
        <m:r>
          <m:t>243</m:t>
        </m:r>
        <m:r>
          <m:rPr>
            <m:sty m:val="p"/>
          </m:rPr>
          <m:t>–</m:t>
        </m:r>
      </m:oMath>
      <w:r>
        <w:t xml:space="preserve">309. The stock has meaningfully lagged the broader market and its own materials peer group over the past year, and multiple sell-side desks have cut price targets or flagged caution around near-term cost pass-through even while remaining constructive longer term. That said, several banks have recently reiterated bullish stances — Citigroup (</w:t>
      </w:r>
      <m:oMath>
        <m:r>
          <m:t>330</m:t>
        </m:r>
        <m:r>
          <m:rPr>
            <m:sty m:val="p"/>
          </m:rPr>
          <m:t>)</m:t>
        </m:r>
        <m:r>
          <m:rPr>
            <m:sty m:val="p"/>
          </m:rPr>
          <m:t>,</m:t>
        </m:r>
        <m:r>
          <m:t>D</m:t>
        </m:r>
        <m:r>
          <m:t>e</m:t>
        </m:r>
        <m:r>
          <m:t>u</m:t>
        </m:r>
        <m:r>
          <m:t>t</m:t>
        </m:r>
        <m:r>
          <m:t>s</m:t>
        </m:r>
        <m:r>
          <m:t>c</m:t>
        </m:r>
        <m:r>
          <m:t>h</m:t>
        </m:r>
        <m:r>
          <m:t>e</m:t>
        </m:r>
        <m:r>
          <m:t>B</m:t>
        </m:r>
        <m:r>
          <m:t>a</m:t>
        </m:r>
        <m:r>
          <m:t>n</m:t>
        </m:r>
        <m:r>
          <m:t>k</m:t>
        </m:r>
        <m:r>
          <m:rPr>
            <m:sty m:val="p"/>
          </m:rPr>
          <m:t>(</m:t>
        </m:r>
      </m:oMath>
      <w:r>
        <w:t xml:space="preserve">335), and UBS (upgraded to Buy,</w:t>
      </w:r>
      <w:r>
        <w:t xml:space="preserve"> </w:t>
      </w:r>
      <m:oMath>
        <m:r>
          <m:t>325</m:t>
        </m:r>
        <m:r>
          <m:rPr>
            <m:sty m:val="p"/>
          </m:rPr>
          <m:t>)</m:t>
        </m:r>
        <m:r>
          <m:rPr>
            <m:sty m:val="p"/>
          </m:rPr>
          <m:t>—</m:t>
        </m:r>
        <m:r>
          <m:t>w</m:t>
        </m:r>
        <m:r>
          <m:t>i</m:t>
        </m:r>
        <m:r>
          <m:t>t</m:t>
        </m:r>
        <m:r>
          <m:t>h</m:t>
        </m:r>
        <m:r>
          <m:t>a</m:t>
        </m:r>
        <m:r>
          <m:t>v</m:t>
        </m:r>
        <m:r>
          <m:t>e</m:t>
        </m:r>
        <m:r>
          <m:t>r</m:t>
        </m:r>
        <m:r>
          <m:t>a</m:t>
        </m:r>
        <m:r>
          <m:t>g</m:t>
        </m:r>
        <m:r>
          <m:t>e</m:t>
        </m:r>
        <m:r>
          <m:t>s</m:t>
        </m:r>
        <m:r>
          <m:t>e</m:t>
        </m:r>
        <m:r>
          <m:t>l</m:t>
        </m:r>
        <m:r>
          <m:t>l</m:t>
        </m:r>
        <m:r>
          <m:rPr>
            <m:sty m:val="p"/>
          </m:rPr>
          <m:t>−</m:t>
        </m:r>
        <m:r>
          <m:t>s</m:t>
        </m:r>
        <m:r>
          <m:t>i</m:t>
        </m:r>
        <m:r>
          <m:t>d</m:t>
        </m:r>
        <m:r>
          <m:t>e</m:t>
        </m:r>
        <m:r>
          <m:t>p</m:t>
        </m:r>
        <m:r>
          <m:t>r</m:t>
        </m:r>
        <m:r>
          <m:t>i</m:t>
        </m:r>
        <m:r>
          <m:t>c</m:t>
        </m:r>
        <m:r>
          <m:t>e</m:t>
        </m:r>
        <m:r>
          <m:t>t</m:t>
        </m:r>
        <m:r>
          <m:t>a</m:t>
        </m:r>
        <m:r>
          <m:t>r</m:t>
        </m:r>
        <m:r>
          <m:t>g</m:t>
        </m:r>
        <m:r>
          <m:t>e</m:t>
        </m:r>
        <m:r>
          <m:t>t</m:t>
        </m:r>
        <m:r>
          <m:t>s</m:t>
        </m:r>
        <m:r>
          <m:t>c</m:t>
        </m:r>
        <m:r>
          <m:t>l</m:t>
        </m:r>
        <m:r>
          <m:t>u</m:t>
        </m:r>
        <m:r>
          <m:t>s</m:t>
        </m:r>
        <m:r>
          <m:t>t</m:t>
        </m:r>
        <m:r>
          <m:t>e</m:t>
        </m:r>
        <m:r>
          <m:t>r</m:t>
        </m:r>
        <m:r>
          <m:t>e</m:t>
        </m:r>
        <m:r>
          <m:t>d</m:t>
        </m:r>
        <m:r>
          <m:t>i</m:t>
        </m:r>
        <m:r>
          <m:t>n</m:t>
        </m:r>
        <m:r>
          <m:t>t</m:t>
        </m:r>
        <m:r>
          <m:t>h</m:t>
        </m:r>
        <m:r>
          <m:t>e</m:t>
        </m:r>
        <m:r>
          <m:rPr>
            <m:sty m:val="p"/>
          </m:rPr>
          <m:t>*</m:t>
        </m:r>
        <m:r>
          <m:rPr>
            <m:sty m:val="p"/>
          </m:rPr>
          <m:t>*</m:t>
        </m:r>
      </m:oMath>
      <w:r>
        <w:t xml:space="preserve">317–$324** range, implying meaningful upside if Ecolab executes the surcharge transition as promised. Wells Fargo more recently nudged its target to a more conservative $275, citing confidence in Ecolab's ability to manage commodity pressure but tempered by valuation. At roughly 33x forward earnings, the stock is not cheap, meaning the market will likely reward clean execution on margins and punish any sign that pricing/surcharge realization is lagging cost inflation.</w:t>
      </w:r>
    </w:p>
    <w:bookmarkEnd w:id="14"/>
    <w:bookmarkStart w:id="15" w:name="key-questions-for-tomorrows-call"/>
    <w:p>
      <w:pPr>
        <w:pStyle w:val="Heading2"/>
      </w:pPr>
      <w:r>
        <w:t xml:space="preserve">Key Questions for Tomorrow's Call</w:t>
      </w:r>
    </w:p>
    <w:p>
      <w:pPr>
        <w:pStyle w:val="Compact"/>
        <w:numPr>
          <w:ilvl w:val="0"/>
          <w:numId w:val="1002"/>
        </w:numPr>
      </w:pPr>
      <w:r>
        <w:rPr>
          <w:b/>
          <w:bCs/>
        </w:rPr>
        <w:t xml:space="preserve">Pricing realization</w:t>
      </w:r>
      <w:r>
        <w:t xml:space="preserve"> </w:t>
      </w:r>
      <w:r>
        <w:t xml:space="preserve">— Has the energy surcharge been fully implemented and is the company on track to fully offset the dollar cost impact exiting Q2, as promised?</w:t>
      </w:r>
    </w:p>
    <w:p>
      <w:pPr>
        <w:pStyle w:val="Compact"/>
        <w:numPr>
          <w:ilvl w:val="0"/>
          <w:numId w:val="1002"/>
        </w:numPr>
      </w:pPr>
      <w:r>
        <w:rPr>
          <w:b/>
          <w:bCs/>
        </w:rPr>
        <w:t xml:space="preserve">Gross margin trajectory</w:t>
      </w:r>
      <w:r>
        <w:t xml:space="preserve"> </w:t>
      </w:r>
      <w:r>
        <w:t xml:space="preserve">— Did Q2 gross margin bottom as expected, setting up stabilization/expansion in H2?</w:t>
      </w:r>
    </w:p>
    <w:p>
      <w:pPr>
        <w:pStyle w:val="Compact"/>
        <w:numPr>
          <w:ilvl w:val="0"/>
          <w:numId w:val="1002"/>
        </w:numPr>
      </w:pPr>
      <w:r>
        <w:rPr>
          <w:b/>
          <w:bCs/>
        </w:rPr>
        <w:t xml:space="preserve">CoolIT closing timeline and updated dilution/accretion math</w:t>
      </w:r>
      <w:r>
        <w:t xml:space="preserve">, given the business is reportedly growing far faster than the original underwriting case.</w:t>
      </w:r>
    </w:p>
    <w:p>
      <w:pPr>
        <w:pStyle w:val="Compact"/>
        <w:numPr>
          <w:ilvl w:val="0"/>
          <w:numId w:val="1002"/>
        </w:numPr>
      </w:pPr>
      <w:r>
        <w:rPr>
          <w:b/>
          <w:bCs/>
        </w:rPr>
        <w:t xml:space="preserve">Paper and Heavy Water</w:t>
      </w:r>
      <w:r>
        <w:t xml:space="preserve"> </w:t>
      </w:r>
      <w:r>
        <w:t xml:space="preserve">— confirmation these legacy drags have stabilized and are turning modestly positive, as management suggested in Q1.</w:t>
      </w:r>
    </w:p>
    <w:p>
      <w:pPr>
        <w:pStyle w:val="Compact"/>
        <w:numPr>
          <w:ilvl w:val="0"/>
          <w:numId w:val="1002"/>
        </w:numPr>
      </w:pPr>
      <w:r>
        <w:rPr>
          <w:b/>
          <w:bCs/>
        </w:rPr>
        <w:t xml:space="preserve">Middle East impact</w:t>
      </w:r>
      <w:r>
        <w:t xml:space="preserve"> </w:t>
      </w:r>
      <w:r>
        <w:t xml:space="preserve">— any incremental volume disruption versus the share-gain narrative management described (competitors struggling to serve customers in the region).</w:t>
      </w:r>
    </w:p>
    <w:p>
      <w:pPr>
        <w:pStyle w:val="Compact"/>
        <w:numPr>
          <w:ilvl w:val="0"/>
          <w:numId w:val="1002"/>
        </w:numPr>
      </w:pPr>
      <w:r>
        <w:rPr>
          <w:b/>
          <w:bCs/>
        </w:rPr>
        <w:t xml:space="preserve">Full-year guidance</w:t>
      </w:r>
      <w:r>
        <w:t xml:space="preserve"> </w:t>
      </w:r>
      <w:r>
        <w:t xml:space="preserve">— reaffirmation (or any tweak) of the</w:t>
      </w:r>
      <w:r>
        <w:t xml:space="preserve"> </w:t>
      </w:r>
      <m:oMath>
        <m:r>
          <m:t>8.43</m:t>
        </m:r>
        <m:r>
          <m:rPr>
            <m:sty m:val="p"/>
          </m:rPr>
          <m:t>–</m:t>
        </m:r>
      </m:oMath>
      <w:r>
        <w:t xml:space="preserve">8.63 adjusted EPS range and 6–7% H2 organic growth assumption.</w:t>
      </w:r>
    </w:p>
    <w:bookmarkEnd w:id="15"/>
    <w:bookmarkStart w:id="16" w:name="bottom-line"/>
    <w:p>
      <w:pPr>
        <w:pStyle w:val="Heading2"/>
      </w:pPr>
      <w:r>
        <w:t xml:space="preserve">Bottom Line</w:t>
      </w:r>
    </w:p>
    <w:p>
      <w:pPr>
        <w:pStyle w:val="FirstParagraph"/>
      </w:pPr>
      <w:r>
        <w:t xml:space="preserve">This is a print where the</w:t>
      </w:r>
      <w:r>
        <w:t xml:space="preserve"> </w:t>
      </w:r>
      <w:r>
        <w:rPr>
          <w:i/>
          <w:iCs/>
        </w:rPr>
        <w:t xml:space="preserve">absolute</w:t>
      </w:r>
      <w:r>
        <w:t xml:space="preserve"> </w:t>
      </w:r>
      <w:r>
        <w:t xml:space="preserve">number matters less than the</w:t>
      </w:r>
      <w:r>
        <w:t xml:space="preserve"> </w:t>
      </w:r>
      <w:r>
        <w:rPr>
          <w:i/>
          <w:iCs/>
        </w:rPr>
        <w:t xml:space="preserve">trajectory and confidence</w:t>
      </w:r>
      <w:r>
        <w:t xml:space="preserve"> </w:t>
      </w:r>
      <w:r>
        <w:t xml:space="preserve">behind it. Ecolab pre-committed investors to a soft, transitional Q2 (7–12% EPS growth vs. its usual 12–15%) due to an energy-cost spike it says it can fully price through within one to two quarters. A result in line with the</w:t>
      </w:r>
      <w:r>
        <w:t xml:space="preserve"> </w:t>
      </w:r>
      <m:oMath>
        <m:r>
          <m:t>2.02</m:t>
        </m:r>
        <m:r>
          <m:rPr>
            <m:sty m:val="p"/>
          </m:rPr>
          <m:t>–</m:t>
        </m:r>
      </m:oMath>
      <w:r>
        <w:t xml:space="preserve">2.12 guided range, paired with confident commentary on H2 gross-margin stabilization, pricing realization, and the CoolIT closing timeline, would likely be read as validation of the long-term 20%-margin/12-15% EPS-growth algorithm. A miss or hedged commentary on pricing catch-up — especially with consensus already trimmed and the stock trading at a premium multiple — would raise doubts about whether "one quarter of pain" turns into something more prolonged.</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2026-07-28T01:04:58Z</dcterms:created>
  <dcterms:modified xsi:type="dcterms:W3CDTF">2026-07-28T01:04:58Z</dcterms:modified>
</cp:coreProperties>
</file>

<file path=docProps/custom.xml><?xml version="1.0" encoding="utf-8"?>
<Properties xmlns="http://schemas.openxmlformats.org/officeDocument/2006/custom-properties" xmlns:vt="http://schemas.openxmlformats.org/officeDocument/2006/docPropsVTypes"/>
</file>