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9" w:name="Xa8423c03a49c43628ce5e23e081b36115fb265a"/>
    <w:p>
      <w:pPr>
        <w:pStyle w:val="Heading1"/>
      </w:pPr>
      <w:r>
        <w:t xml:space="preserve">Ecolab (NYSE: ECL) — 2026 Q2 Earnings Preview</w:t>
      </w:r>
    </w:p>
    <w:p>
      <w:pPr>
        <w:pStyle w:val="BlockText"/>
      </w:pPr>
      <w:r>
        <w:rPr>
          <w:b/>
          <w:bCs/>
        </w:rPr>
        <w:t xml:space="preserve">Timing note:</w:t>
      </w:r>
      <w:r>
        <w:t xml:space="preserve"> </w:t>
      </w:r>
      <w:r>
        <w:t xml:space="preserve">Ecolab is scheduled to release results</w:t>
      </w:r>
      <w:r>
        <w:t xml:space="preserve"> </w:t>
      </w:r>
      <w:r>
        <w:rPr>
          <w:b/>
          <w:bCs/>
        </w:rPr>
        <w:t xml:space="preserve">before the market opens today, Tuesday, July 28, 2026</w:t>
      </w:r>
      <w:r>
        <w:t xml:space="preserve">, followed by its earnings call at</w:t>
      </w:r>
      <w:r>
        <w:t xml:space="preserve"> </w:t>
      </w:r>
      <w:r>
        <w:rPr>
          <w:b/>
          <w:bCs/>
        </w:rPr>
        <w:t xml:space="preserve">1:00 p.m. ET</w:t>
      </w:r>
      <w:r>
        <w:t xml:space="preserve">. Thus, the event date is today rather than tomorrow.</w:t>
      </w:r>
    </w:p>
    <w:bookmarkStart w:id="9" w:name="investment-view-going-into-the-report"/>
    <w:p>
      <w:pPr>
        <w:pStyle w:val="Heading2"/>
      </w:pPr>
      <w:r>
        <w:t xml:space="preserve">Investment view going into the report</w:t>
      </w:r>
    </w:p>
    <w:p>
      <w:pPr>
        <w:pStyle w:val="FirstParagraph"/>
      </w:pPr>
      <w:r>
        <w:t xml:space="preserve">Ecolab’s second quarter was always expected to be a</w:t>
      </w:r>
      <w:r>
        <w:t xml:space="preserve"> </w:t>
      </w:r>
      <w:r>
        <w:rPr>
          <w:b/>
          <w:bCs/>
        </w:rPr>
        <w:t xml:space="preserve">price-cost transition quarter</w:t>
      </w:r>
      <w:r>
        <w:t xml:space="preserve">. The headline EPS result matters, but the more consequential questions are:</w:t>
      </w:r>
    </w:p>
    <w:p>
      <w:pPr>
        <w:pStyle w:val="Compact"/>
        <w:numPr>
          <w:ilvl w:val="0"/>
          <w:numId w:val="1001"/>
        </w:numPr>
      </w:pPr>
      <w:r>
        <w:t xml:space="preserve">Has the global energy surcharge caught up with raw-material and logistics inflation?</w:t>
      </w:r>
    </w:p>
    <w:p>
      <w:pPr>
        <w:pStyle w:val="Compact"/>
        <w:numPr>
          <w:ilvl w:val="0"/>
          <w:numId w:val="1001"/>
        </w:numPr>
      </w:pPr>
      <w:r>
        <w:t xml:space="preserve">Is Ecolab still positioned for</w:t>
      </w:r>
      <w:r>
        <w:t xml:space="preserve"> </w:t>
      </w:r>
      <w:r>
        <w:rPr>
          <w:b/>
          <w:bCs/>
        </w:rPr>
        <w:t xml:space="preserve">6%–7% organic sales growth in the second half</w:t>
      </w:r>
      <w:r>
        <w:t xml:space="preserve">?</w:t>
      </w:r>
    </w:p>
    <w:p>
      <w:pPr>
        <w:pStyle w:val="Compact"/>
        <w:numPr>
          <w:ilvl w:val="0"/>
          <w:numId w:val="1001"/>
        </w:numPr>
      </w:pPr>
      <w:r>
        <w:t xml:space="preserve">Can it preserve its</w:t>
      </w:r>
      <w:r>
        <w:t xml:space="preserve"> </w:t>
      </w:r>
      <w:r>
        <w:rPr>
          <w:b/>
          <w:bCs/>
        </w:rPr>
        <w:t xml:space="preserve">approximately 19% adjusted operating-margin target for 2026</w:t>
      </w:r>
      <w:r>
        <w:t xml:space="preserve">?</w:t>
      </w:r>
    </w:p>
    <w:p>
      <w:pPr>
        <w:pStyle w:val="Compact"/>
        <w:numPr>
          <w:ilvl w:val="0"/>
          <w:numId w:val="1001"/>
        </w:numPr>
      </w:pPr>
      <w:r>
        <w:t xml:space="preserve">What are the closing timetable, financing impact and updated economics for CoolIT?</w:t>
      </w:r>
    </w:p>
    <w:p>
      <w:pPr>
        <w:pStyle w:val="Compact"/>
        <w:numPr>
          <w:ilvl w:val="0"/>
          <w:numId w:val="1001"/>
        </w:numPr>
      </w:pPr>
      <w:r>
        <w:t xml:space="preserve">Are Global High-Tech and Life Sciences growing fast enough to offset sluggish Paper and Heavy Water markets?</w:t>
      </w:r>
    </w:p>
    <w:p>
      <w:pPr>
        <w:pStyle w:val="FirstParagraph"/>
      </w:pPr>
      <w:r>
        <w:t xml:space="preserve">A result within guidance accompanied by credible evidence that price-cost is turning positive could be sufficient. Conversely, even an EPS beat may not satisfy investors if commodity inflation has risen again or management pushes out the expected margin recovery.</w:t>
      </w:r>
    </w:p>
    <w:p>
      <w:r>
        <w:pict>
          <v:rect style="width:0;height:1.5pt" o:hralign="center" o:hrstd="t" o:hr="t"/>
        </w:pict>
      </w:r>
    </w:p>
    <w:bookmarkEnd w:id="9"/>
    <w:bookmarkStart w:id="10" w:name="the-numbers-to-frame-the-report"/>
    <w:p>
      <w:pPr>
        <w:pStyle w:val="Heading2"/>
      </w:pPr>
      <w:r>
        <w:t xml:space="preserve">The numbers to frame the report</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Metric</w:t>
            </w:r>
          </w:p>
        </w:tc>
        <w:tc>
          <w:tcPr/>
          <w:p>
            <w:pPr>
              <w:pStyle w:val="Compact"/>
              <w:jc w:val="right"/>
            </w:pPr>
            <w:r>
              <w:t xml:space="preserve">Management’s latest expectation</w:t>
            </w:r>
          </w:p>
        </w:tc>
      </w:tr>
      <w:tr>
        <w:tc>
          <w:tcPr/>
          <w:p>
            <w:pPr>
              <w:pStyle w:val="Compact"/>
            </w:pPr>
            <w:r>
              <w:t xml:space="preserve">Q2 adjusted EPS</w:t>
            </w:r>
          </w:p>
        </w:tc>
        <w:tc>
          <w:tcPr/>
          <w:p>
            <w:pPr>
              <w:pStyle w:val="Compact"/>
              <w:jc w:val="right"/>
            </w:pPr>
            <m:oMath>
              <m:r>
                <m:t>2.02</m:t>
              </m:r>
              <m:r>
                <m:rPr>
                  <m:sty m:val="p"/>
                </m:rPr>
                <m:t>–</m:t>
              </m:r>
            </m:oMath>
            <w:r>
              <w:rPr>
                <w:b/>
                <w:bCs/>
              </w:rPr>
              <w:t xml:space="preserve">2.12</w:t>
            </w:r>
          </w:p>
        </w:tc>
      </w:tr>
      <w:tr>
        <w:tc>
          <w:tcPr/>
          <w:p>
            <w:pPr>
              <w:pStyle w:val="Compact"/>
            </w:pPr>
            <w:r>
              <w:t xml:space="preserve">Q2 adjusted EPS growth</w:t>
            </w:r>
          </w:p>
        </w:tc>
        <w:tc>
          <w:tcPr/>
          <w:p>
            <w:pPr>
              <w:pStyle w:val="Compact"/>
              <w:jc w:val="right"/>
            </w:pPr>
            <w:r>
              <w:rPr>
                <w:b/>
                <w:bCs/>
              </w:rPr>
              <w:t xml:space="preserve">7%–12%</w:t>
            </w:r>
          </w:p>
        </w:tc>
      </w:tr>
      <w:tr>
        <w:tc>
          <w:tcPr/>
          <w:p>
            <w:pPr>
              <w:pStyle w:val="Compact"/>
            </w:pPr>
            <w:r>
              <w:t xml:space="preserve">Q2 2025 adjusted EPS comparison</w:t>
            </w:r>
          </w:p>
        </w:tc>
        <w:tc>
          <w:tcPr/>
          <w:p>
            <w:pPr>
              <w:pStyle w:val="Compact"/>
              <w:jc w:val="right"/>
            </w:pPr>
            <w:r>
              <w:rPr>
                <w:b/>
                <w:bCs/>
              </w:rPr>
              <w:t xml:space="preserve">$1.89</w:t>
            </w:r>
          </w:p>
        </w:tc>
      </w:tr>
      <w:tr>
        <w:tc>
          <w:tcPr/>
          <w:p>
            <w:pPr>
              <w:pStyle w:val="Compact"/>
            </w:pPr>
            <w:r>
              <w:t xml:space="preserve">FY2026 adjusted EPS, excluding CoolIT</w:t>
            </w:r>
          </w:p>
        </w:tc>
        <w:tc>
          <w:tcPr/>
          <w:p>
            <w:pPr>
              <w:pStyle w:val="Compact"/>
              <w:jc w:val="right"/>
            </w:pPr>
            <m:oMath>
              <m:r>
                <m:t>8.43</m:t>
              </m:r>
              <m:r>
                <m:rPr>
                  <m:sty m:val="p"/>
                </m:rPr>
                <m:t>–</m:t>
              </m:r>
            </m:oMath>
            <w:r>
              <w:rPr>
                <w:b/>
                <w:bCs/>
              </w:rPr>
              <w:t xml:space="preserve">8.63</w:t>
            </w:r>
          </w:p>
        </w:tc>
      </w:tr>
      <w:tr>
        <w:tc>
          <w:tcPr/>
          <w:p>
            <w:pPr>
              <w:pStyle w:val="Compact"/>
            </w:pPr>
            <w:r>
              <w:t xml:space="preserve">FY2026 adjusted EPS growth, excluding CoolIT</w:t>
            </w:r>
          </w:p>
        </w:tc>
        <w:tc>
          <w:tcPr/>
          <w:p>
            <w:pPr>
              <w:pStyle w:val="Compact"/>
              <w:jc w:val="right"/>
            </w:pPr>
            <w:r>
              <w:rPr>
                <w:b/>
                <w:bCs/>
              </w:rPr>
              <w:t xml:space="preserve">12%–15%</w:t>
            </w:r>
          </w:p>
        </w:tc>
      </w:tr>
      <w:tr>
        <w:tc>
          <w:tcPr/>
          <w:p>
            <w:pPr>
              <w:pStyle w:val="Compact"/>
            </w:pPr>
            <w:r>
              <w:t xml:space="preserve">FY2026 reported sales growth</w:t>
            </w:r>
          </w:p>
        </w:tc>
        <w:tc>
          <w:tcPr/>
          <w:p>
            <w:pPr>
              <w:pStyle w:val="Compact"/>
              <w:jc w:val="right"/>
            </w:pPr>
            <w:r>
              <w:rPr>
                <w:b/>
                <w:bCs/>
              </w:rPr>
              <w:t xml:space="preserve">9%–11%</w:t>
            </w:r>
          </w:p>
        </w:tc>
      </w:tr>
      <w:tr>
        <w:tc>
          <w:tcPr/>
          <w:p>
            <w:pPr>
              <w:pStyle w:val="Compact"/>
            </w:pPr>
            <w:r>
              <w:t xml:space="preserve">H2 organic sales growth</w:t>
            </w:r>
          </w:p>
        </w:tc>
        <w:tc>
          <w:tcPr/>
          <w:p>
            <w:pPr>
              <w:pStyle w:val="Compact"/>
              <w:jc w:val="right"/>
            </w:pPr>
            <w:r>
              <w:rPr>
                <w:b/>
                <w:bCs/>
              </w:rPr>
              <w:t xml:space="preserve">6%–7%</w:t>
            </w:r>
          </w:p>
        </w:tc>
      </w:tr>
      <w:tr>
        <w:tc>
          <w:tcPr/>
          <w:p>
            <w:pPr>
              <w:pStyle w:val="Compact"/>
            </w:pPr>
            <w:r>
              <w:t xml:space="preserve">FY2026 adjusted operating margin</w:t>
            </w:r>
          </w:p>
        </w:tc>
        <w:tc>
          <w:tcPr/>
          <w:p>
            <w:pPr>
              <w:pStyle w:val="Compact"/>
              <w:jc w:val="right"/>
            </w:pPr>
            <w:r>
              <w:rPr>
                <w:b/>
                <w:bCs/>
              </w:rPr>
              <w:t xml:space="preserve">Approximately 19%</w:t>
            </w:r>
          </w:p>
        </w:tc>
      </w:tr>
      <w:tr>
        <w:tc>
          <w:tcPr/>
          <w:p>
            <w:pPr>
              <w:pStyle w:val="Compact"/>
            </w:pPr>
            <w:r>
              <w:t xml:space="preserve">FY2026 adjusted operating-income growth</w:t>
            </w:r>
          </w:p>
        </w:tc>
        <w:tc>
          <w:tcPr/>
          <w:p>
            <w:pPr>
              <w:pStyle w:val="Compact"/>
              <w:jc w:val="right"/>
            </w:pPr>
            <w:r>
              <w:rPr>
                <w:b/>
                <w:bCs/>
              </w:rPr>
              <w:t xml:space="preserve">14%–16%</w:t>
            </w:r>
          </w:p>
        </w:tc>
      </w:tr>
      <w:tr>
        <w:tc>
          <w:tcPr/>
          <w:p>
            <w:pPr>
              <w:pStyle w:val="Compact"/>
            </w:pPr>
            <w:r>
              <w:t xml:space="preserve">Long-term operating-margin target</w:t>
            </w:r>
          </w:p>
        </w:tc>
        <w:tc>
          <w:tcPr/>
          <w:p>
            <w:pPr>
              <w:pStyle w:val="Compact"/>
              <w:jc w:val="right"/>
            </w:pPr>
            <w:r>
              <w:rPr>
                <w:b/>
                <w:bCs/>
              </w:rPr>
              <w:t xml:space="preserve">20% in 2027</w:t>
            </w:r>
          </w:p>
        </w:tc>
      </w:tr>
    </w:tbl>
    <w:p>
      <w:pPr>
        <w:pStyle w:val="BodyText"/>
      </w:pPr>
      <w:r>
        <w:t xml:space="preserve">The midpoint of the Q2 range is</w:t>
      </w:r>
      <w:r>
        <w:t xml:space="preserve"> </w:t>
      </w:r>
      <m:oMath>
        <m:r>
          <m:t>2.07</m:t>
        </m:r>
        <m:r>
          <m:rPr>
            <m:sty m:val="p"/>
          </m:rPr>
          <m:t>*</m:t>
        </m:r>
        <m:r>
          <m:rPr>
            <m:sty m:val="p"/>
          </m:rPr>
          <m:t>*</m:t>
        </m:r>
        <m:r>
          <m:rPr>
            <m:sty m:val="p"/>
          </m:rPr>
          <m:t>,</m:t>
        </m:r>
        <m:r>
          <m:t>w</m:t>
        </m:r>
        <m:r>
          <m:t>h</m:t>
        </m:r>
        <m:r>
          <m:t>i</m:t>
        </m:r>
        <m:r>
          <m:t>l</m:t>
        </m:r>
        <m:r>
          <m:t>e</m:t>
        </m:r>
        <m:r>
          <m:t>t</m:t>
        </m:r>
        <m:r>
          <m:t>h</m:t>
        </m:r>
        <m:r>
          <m:t>e</m:t>
        </m:r>
        <m:r>
          <m:t>m</m:t>
        </m:r>
        <m:r>
          <m:t>i</m:t>
        </m:r>
        <m:r>
          <m:t>d</m:t>
        </m:r>
        <m:r>
          <m:t>p</m:t>
        </m:r>
        <m:r>
          <m:t>o</m:t>
        </m:r>
        <m:r>
          <m:t>i</m:t>
        </m:r>
        <m:r>
          <m:t>n</m:t>
        </m:r>
        <m:r>
          <m:t>t</m:t>
        </m:r>
        <m:r>
          <m:t>o</m:t>
        </m:r>
        <m:r>
          <m:t>f</m:t>
        </m:r>
        <m:r>
          <m:t>f</m:t>
        </m:r>
        <m:r>
          <m:t>u</m:t>
        </m:r>
        <m:r>
          <m:t>l</m:t>
        </m:r>
        <m:r>
          <m:t>l</m:t>
        </m:r>
        <m:r>
          <m:rPr>
            <m:sty m:val="p"/>
          </m:rPr>
          <m:t>−</m:t>
        </m:r>
        <m:r>
          <m:t>y</m:t>
        </m:r>
        <m:r>
          <m:t>e</m:t>
        </m:r>
        <m:r>
          <m:t>a</m:t>
        </m:r>
        <m:r>
          <m:t>r</m:t>
        </m:r>
        <m:r>
          <m:t>g</m:t>
        </m:r>
        <m:r>
          <m:t>u</m:t>
        </m:r>
        <m:r>
          <m:t>i</m:t>
        </m:r>
        <m:r>
          <m:t>d</m:t>
        </m:r>
        <m:r>
          <m:t>a</m:t>
        </m:r>
        <m:r>
          <m:t>n</m:t>
        </m:r>
        <m:r>
          <m:t>c</m:t>
        </m:r>
        <m:r>
          <m:t>e</m:t>
        </m:r>
        <m:r>
          <m:t>i</m:t>
        </m:r>
        <m:r>
          <m:t>s</m:t>
        </m:r>
        <m:r>
          <m:rPr>
            <m:sty m:val="p"/>
          </m:rPr>
          <m:t>*</m:t>
        </m:r>
        <m:r>
          <m:rPr>
            <m:sty m:val="p"/>
          </m:rPr>
          <m:t>*</m:t>
        </m:r>
      </m:oMath>
      <w:r>
        <w:rPr>
          <w:b/>
          <w:bCs/>
        </w:rPr>
        <w:t xml:space="preserve">8.53</w:t>
      </w:r>
      <w:r>
        <w:t xml:space="preserve">.</w:t>
      </w:r>
    </w:p>
    <w:p>
      <w:pPr>
        <w:pStyle w:val="BodyText"/>
      </w:pPr>
      <w:r>
        <w:t xml:space="preserve">Ecolab entered Q2 with decent underlying momentum. First-quarter organic sales increased 4%, comprising approximately</w:t>
      </w:r>
      <w:r>
        <w:t xml:space="preserve"> </w:t>
      </w:r>
      <w:r>
        <w:rPr>
          <w:b/>
          <w:bCs/>
        </w:rPr>
        <w:t xml:space="preserve">3% pricing and 1% volume</w:t>
      </w:r>
      <w:r>
        <w:t xml:space="preserve">, while adjusted EPS increased 13% to $1.70. Organic operating margin expanded 70 basis points to 16.8%, although adjusted gross margin declined due to acquisitions and higher commodity costs.</w:t>
      </w:r>
    </w:p>
    <w:p>
      <w:r>
        <w:pict>
          <v:rect style="width:0;height:1.5pt" o:hralign="center" o:hrstd="t" o:hr="t"/>
        </w:pict>
      </w:r>
    </w:p>
    <w:bookmarkEnd w:id="10"/>
    <w:bookmarkStart w:id="12" w:name="X710630aca89b457d0b31e408e426c425856fbca"/>
    <w:p>
      <w:pPr>
        <w:pStyle w:val="Heading2"/>
      </w:pPr>
      <w:r>
        <w:t xml:space="preserve">1. Price-cost execution is the central issue</w:t>
      </w:r>
    </w:p>
    <w:p>
      <w:pPr>
        <w:pStyle w:val="FirstParagraph"/>
      </w:pPr>
      <w:r>
        <w:t xml:space="preserve">Management expected delivered product costs to rise at a</w:t>
      </w:r>
      <w:r>
        <w:t xml:space="preserve"> </w:t>
      </w:r>
      <w:r>
        <w:rPr>
          <w:b/>
          <w:bCs/>
        </w:rPr>
        <w:t xml:space="preserve">high-single-digit rate beginning in Q2</w:t>
      </w:r>
      <w:r>
        <w:t xml:space="preserve">, driven primarily by higher energy, raw-material and logistics costs. In response, Ecolab began implementing a global energy surcharge on April 1.</w:t>
      </w:r>
    </w:p>
    <w:p>
      <w:pPr>
        <w:pStyle w:val="BodyText"/>
      </w:pPr>
      <w:r>
        <w:t xml:space="preserve">The company’s April framework was:</w:t>
      </w:r>
    </w:p>
    <w:p>
      <w:pPr>
        <w:pStyle w:val="Compact"/>
        <w:numPr>
          <w:ilvl w:val="0"/>
          <w:numId w:val="1002"/>
        </w:numPr>
      </w:pPr>
      <w:r>
        <w:t xml:space="preserve">Q2 would absorb a few percentage points of EPS growth from higher commodity costs.</w:t>
      </w:r>
    </w:p>
    <w:p>
      <w:pPr>
        <w:pStyle w:val="Compact"/>
        <w:numPr>
          <w:ilvl w:val="0"/>
          <w:numId w:val="1002"/>
        </w:numPr>
      </w:pPr>
      <w:r>
        <w:t xml:space="preserve">Surcharge benefits would build throughout the quarter.</w:t>
      </w:r>
    </w:p>
    <w:p>
      <w:pPr>
        <w:pStyle w:val="Compact"/>
        <w:numPr>
          <w:ilvl w:val="0"/>
          <w:numId w:val="1002"/>
        </w:numPr>
      </w:pPr>
      <w:r>
        <w:t xml:space="preserve">Pricing would cover the</w:t>
      </w:r>
      <w:r>
        <w:t xml:space="preserve"> </w:t>
      </w:r>
      <w:r>
        <w:rPr>
          <w:b/>
          <w:bCs/>
        </w:rPr>
        <w:t xml:space="preserve">dollar impact</w:t>
      </w:r>
      <w:r>
        <w:t xml:space="preserve"> </w:t>
      </w:r>
      <w:r>
        <w:t xml:space="preserve">of inflation by the end of Q2.</w:t>
      </w:r>
    </w:p>
    <w:p>
      <w:pPr>
        <w:pStyle w:val="Compact"/>
        <w:numPr>
          <w:ilvl w:val="0"/>
          <w:numId w:val="1002"/>
        </w:numPr>
      </w:pPr>
      <w:r>
        <w:t xml:space="preserve">Gross margin would stabilize in the second half.</w:t>
      </w:r>
    </w:p>
    <w:p>
      <w:pPr>
        <w:pStyle w:val="Compact"/>
        <w:numPr>
          <w:ilvl w:val="0"/>
          <w:numId w:val="1002"/>
        </w:numPr>
      </w:pPr>
      <w:r>
        <w:t xml:space="preserve">Excluding Ovivo’s mix impact, second-half gross margin could expand approximately</w:t>
      </w:r>
      <w:r>
        <w:t xml:space="preserve"> </w:t>
      </w:r>
      <w:r>
        <w:rPr>
          <w:b/>
          <w:bCs/>
        </w:rPr>
        <w:t xml:space="preserve">70–80 basis points</w:t>
      </w:r>
      <w:r>
        <w:t xml:space="preserve">.</w:t>
      </w:r>
    </w:p>
    <w:p>
      <w:pPr>
        <w:pStyle w:val="FirstParagraph"/>
      </w:pPr>
      <w:r>
        <w:t xml:space="preserve">Management also indicated that the surcharge applied across essentially all customers, businesses and countries, with implementation expected to be mostly complete by the end of Q2 or early Q3.</w:t>
      </w:r>
    </w:p>
    <w:bookmarkStart w:id="11" w:name="what-investors-need-to-hear"/>
    <w:p>
      <w:pPr>
        <w:pStyle w:val="Heading3"/>
      </w:pPr>
      <w:r>
        <w:t xml:space="preserve">What investors need to hear</w:t>
      </w:r>
    </w:p>
    <w:p>
      <w:pPr>
        <w:pStyle w:val="FirstParagraph"/>
      </w:pPr>
      <w:r>
        <w:t xml:space="preserve">A constructive update would include:</w:t>
      </w:r>
    </w:p>
    <w:p>
      <w:pPr>
        <w:pStyle w:val="Compact"/>
        <w:numPr>
          <w:ilvl w:val="0"/>
          <w:numId w:val="1003"/>
        </w:numPr>
      </w:pPr>
      <w:r>
        <w:t xml:space="preserve">Price-cost dollars at or near neutral in the June exit rate.</w:t>
      </w:r>
    </w:p>
    <w:p>
      <w:pPr>
        <w:pStyle w:val="Compact"/>
        <w:numPr>
          <w:ilvl w:val="0"/>
          <w:numId w:val="1003"/>
        </w:numPr>
      </w:pPr>
      <w:r>
        <w:t xml:space="preserve">Pricing accelerating from Q1’s 3% toward the</w:t>
      </w:r>
      <w:r>
        <w:t xml:space="preserve"> </w:t>
      </w:r>
      <w:r>
        <w:rPr>
          <w:b/>
          <w:bCs/>
        </w:rPr>
        <w:t xml:space="preserve">5%–6% level assumed for the second half</w:t>
      </w:r>
      <w:r>
        <w:t xml:space="preserve">.</w:t>
      </w:r>
    </w:p>
    <w:p>
      <w:pPr>
        <w:pStyle w:val="Compact"/>
        <w:numPr>
          <w:ilvl w:val="0"/>
          <w:numId w:val="1003"/>
        </w:numPr>
      </w:pPr>
      <w:r>
        <w:t xml:space="preserve">No material deterioration in customer retention or volumes.</w:t>
      </w:r>
    </w:p>
    <w:p>
      <w:pPr>
        <w:pStyle w:val="Compact"/>
        <w:numPr>
          <w:ilvl w:val="0"/>
          <w:numId w:val="1003"/>
        </w:numPr>
      </w:pPr>
      <w:r>
        <w:t xml:space="preserve">Reaffirmation of second-half gross-margin stabilization.</w:t>
      </w:r>
    </w:p>
    <w:p>
      <w:pPr>
        <w:pStyle w:val="Compact"/>
        <w:numPr>
          <w:ilvl w:val="0"/>
          <w:numId w:val="1003"/>
        </w:numPr>
      </w:pPr>
      <w:r>
        <w:t xml:space="preserve">Confirmation that higher oil prices and recent Middle East disruptions do not require another material surcharge step-up.</w:t>
      </w:r>
    </w:p>
    <w:p>
      <w:pPr>
        <w:pStyle w:val="FirstParagraph"/>
      </w:pPr>
      <w:r>
        <w:t xml:space="preserve">The macro environment has arguably become less forgiving since April, with energy prices and transportation risks remaining elevated. Consequently, the most important disclosure may be management’s</w:t>
      </w:r>
      <w:r>
        <w:t xml:space="preserve"> </w:t>
      </w:r>
      <w:r>
        <w:rPr>
          <w:b/>
          <w:bCs/>
        </w:rPr>
        <w:t xml:space="preserve">updated commodity-cost assumption</w:t>
      </w:r>
      <w:r>
        <w:t xml:space="preserve">, rather than the Q2 EPS figure itself.</w:t>
      </w:r>
    </w:p>
    <w:p>
      <w:r>
        <w:pict>
          <v:rect style="width:0;height:1.5pt" o:hralign="center" o:hrstd="t" o:hr="t"/>
        </w:pict>
      </w:r>
    </w:p>
    <w:bookmarkEnd w:id="11"/>
    <w:bookmarkEnd w:id="12"/>
    <w:bookmarkStart w:id="13" w:name="Xd446c46533d8c22bc5e73260ec4772f913bf29f"/>
    <w:p>
      <w:pPr>
        <w:pStyle w:val="Heading2"/>
      </w:pPr>
      <w:r>
        <w:t xml:space="preserve">2. The second-half growth bridge needs to remain intact</w:t>
      </w:r>
    </w:p>
    <w:p>
      <w:pPr>
        <w:pStyle w:val="FirstParagraph"/>
      </w:pPr>
      <w:r>
        <w:t xml:space="preserve">Ecolab expects second-half organic sales growth of 6%–7%, based roughly on:</w:t>
      </w:r>
    </w:p>
    <w:p>
      <w:pPr>
        <w:pStyle w:val="Compact"/>
        <w:numPr>
          <w:ilvl w:val="0"/>
          <w:numId w:val="1004"/>
        </w:numPr>
      </w:pPr>
      <w:r>
        <w:rPr>
          <w:b/>
          <w:bCs/>
        </w:rPr>
        <w:t xml:space="preserve">5%–6% pricing</w:t>
      </w:r>
      <w:r>
        <w:t xml:space="preserve">, including surcharge benefits; and</w:t>
      </w:r>
    </w:p>
    <w:p>
      <w:pPr>
        <w:pStyle w:val="Compact"/>
        <w:numPr>
          <w:ilvl w:val="0"/>
          <w:numId w:val="1004"/>
        </w:numPr>
      </w:pPr>
      <w:r>
        <w:t xml:space="preserve">Approximately</w:t>
      </w:r>
      <w:r>
        <w:t xml:space="preserve"> </w:t>
      </w:r>
      <w:r>
        <w:rPr>
          <w:b/>
          <w:bCs/>
        </w:rPr>
        <w:t xml:space="preserve">1% volume growth</w:t>
      </w:r>
      <w:r>
        <w:t xml:space="preserve">.</w:t>
      </w:r>
    </w:p>
    <w:p>
      <w:pPr>
        <w:pStyle w:val="FirstParagraph"/>
      </w:pPr>
      <w:r>
        <w:t xml:space="preserve">That is a meaningful acceleration from Q1’s 4% organic growth. It is achievable if surcharge realization follows the expected timetable, but the quality of that growth matters. Investors will want to distinguish between:</w:t>
      </w:r>
    </w:p>
    <w:p>
      <w:pPr>
        <w:pStyle w:val="Compact"/>
        <w:numPr>
          <w:ilvl w:val="0"/>
          <w:numId w:val="1005"/>
        </w:numPr>
      </w:pPr>
      <w:r>
        <w:t xml:space="preserve">temporary surcharge-driven revenue;</w:t>
      </w:r>
    </w:p>
    <w:p>
      <w:pPr>
        <w:pStyle w:val="Compact"/>
        <w:numPr>
          <w:ilvl w:val="0"/>
          <w:numId w:val="1005"/>
        </w:numPr>
      </w:pPr>
      <w:r>
        <w:t xml:space="preserve">structural value pricing;</w:t>
      </w:r>
    </w:p>
    <w:p>
      <w:pPr>
        <w:pStyle w:val="Compact"/>
        <w:numPr>
          <w:ilvl w:val="0"/>
          <w:numId w:val="1005"/>
        </w:numPr>
      </w:pPr>
      <w:r>
        <w:t xml:space="preserve">underlying volume;</w:t>
      </w:r>
    </w:p>
    <w:p>
      <w:pPr>
        <w:pStyle w:val="Compact"/>
        <w:numPr>
          <w:ilvl w:val="0"/>
          <w:numId w:val="1005"/>
        </w:numPr>
      </w:pPr>
      <w:r>
        <w:t xml:space="preserve">new-account wins; and</w:t>
      </w:r>
    </w:p>
    <w:p>
      <w:pPr>
        <w:pStyle w:val="Compact"/>
        <w:numPr>
          <w:ilvl w:val="0"/>
          <w:numId w:val="1005"/>
        </w:numPr>
      </w:pPr>
      <w:r>
        <w:t xml:space="preserve">acquisition growth from Ovivo.</w:t>
      </w:r>
    </w:p>
    <w:p>
      <w:pPr>
        <w:pStyle w:val="FirstParagraph"/>
      </w:pPr>
      <w:r>
        <w:t xml:space="preserve">A particularly positive result would show volume remaining positive despite higher pricing and soft demand in selected industrial and consumer-facing markets. Negative volume, or evidence that customers are reducing consumption in response to surcharges, would weaken the second-half margin thesis.</w:t>
      </w:r>
    </w:p>
    <w:p>
      <w:r>
        <w:pict>
          <v:rect style="width:0;height:1.5pt" o:hralign="center" o:hrstd="t" o:hr="t"/>
        </w:pict>
      </w:r>
    </w:p>
    <w:bookmarkEnd w:id="13"/>
    <w:bookmarkStart w:id="18" w:name="Xfcc0834978085c7c604e87d35d4dfa062533cdf"/>
    <w:p>
      <w:pPr>
        <w:pStyle w:val="Heading2"/>
      </w:pPr>
      <w:r>
        <w:t xml:space="preserve">3. Segment scorecard</w:t>
      </w:r>
    </w:p>
    <w:bookmarkStart w:id="14" w:name="Xa269828178245a3a064cd2cac74bc335fc517e7"/>
    <w:p>
      <w:pPr>
        <w:pStyle w:val="Heading3"/>
      </w:pPr>
      <w:r>
        <w:t xml:space="preserve">Global Water: High-Tech strength versus legacy industrial weakness</w:t>
      </w:r>
    </w:p>
    <w:p>
      <w:pPr>
        <w:pStyle w:val="FirstParagraph"/>
      </w:pPr>
      <w:r>
        <w:t xml:space="preserve">Global Water is likely to remain the most debated segment. In Q1:</w:t>
      </w:r>
    </w:p>
    <w:p>
      <w:pPr>
        <w:pStyle w:val="Compact"/>
        <w:numPr>
          <w:ilvl w:val="0"/>
          <w:numId w:val="1006"/>
        </w:numPr>
      </w:pPr>
      <w:r>
        <w:t xml:space="preserve">Organic sales increased only</w:t>
      </w:r>
      <w:r>
        <w:t xml:space="preserve"> </w:t>
      </w:r>
      <w:r>
        <w:rPr>
          <w:b/>
          <w:bCs/>
        </w:rPr>
        <w:t xml:space="preserve">2%</w:t>
      </w:r>
      <w:r>
        <w:t xml:space="preserve">.</w:t>
      </w:r>
    </w:p>
    <w:p>
      <w:pPr>
        <w:pStyle w:val="Compact"/>
        <w:numPr>
          <w:ilvl w:val="0"/>
          <w:numId w:val="1006"/>
        </w:numPr>
      </w:pPr>
      <w:r>
        <w:t xml:space="preserve">Organic operating income was flat.</w:t>
      </w:r>
    </w:p>
    <w:p>
      <w:pPr>
        <w:pStyle w:val="Compact"/>
        <w:numPr>
          <w:ilvl w:val="0"/>
          <w:numId w:val="1006"/>
        </w:numPr>
      </w:pPr>
      <w:r>
        <w:t xml:space="preserve">Organic operating margin fell 40 basis points to 14.3%.</w:t>
      </w:r>
    </w:p>
    <w:p>
      <w:pPr>
        <w:pStyle w:val="Compact"/>
        <w:numPr>
          <w:ilvl w:val="0"/>
          <w:numId w:val="1006"/>
        </w:numPr>
      </w:pPr>
      <w:r>
        <w:t xml:space="preserve">Global High-Tech grew</w:t>
      </w:r>
      <w:r>
        <w:t xml:space="preserve"> </w:t>
      </w:r>
      <w:r>
        <w:rPr>
          <w:b/>
          <w:bCs/>
        </w:rPr>
        <w:t xml:space="preserve">25%</w:t>
      </w:r>
      <w:r>
        <w:t xml:space="preserve">.</w:t>
      </w:r>
    </w:p>
    <w:p>
      <w:pPr>
        <w:pStyle w:val="Compact"/>
        <w:numPr>
          <w:ilvl w:val="0"/>
          <w:numId w:val="1006"/>
        </w:numPr>
      </w:pPr>
      <w:r>
        <w:t xml:space="preserve">Food &amp; Beverage grew 5%.</w:t>
      </w:r>
    </w:p>
    <w:p>
      <w:pPr>
        <w:pStyle w:val="Compact"/>
        <w:numPr>
          <w:ilvl w:val="0"/>
          <w:numId w:val="1006"/>
        </w:numPr>
      </w:pPr>
      <w:r>
        <w:t xml:space="preserve">Light Water grew 2%.</w:t>
      </w:r>
    </w:p>
    <w:p>
      <w:pPr>
        <w:pStyle w:val="Compact"/>
        <w:numPr>
          <w:ilvl w:val="0"/>
          <w:numId w:val="1006"/>
        </w:numPr>
      </w:pPr>
      <w:r>
        <w:t xml:space="preserve">Heavy Water and Paper each declined 2%.</w:t>
      </w:r>
    </w:p>
    <w:p>
      <w:pPr>
        <w:pStyle w:val="FirstParagraph"/>
      </w:pPr>
      <w:r>
        <w:t xml:space="preserve">Management has argued that Water’s underlying performance is much stronger when Paper and Heavy Water are excluded. Those two businesses reduced Q1 Water organic sales growth by low single digits and operating-income growth by upper single digits.</w:t>
      </w:r>
    </w:p>
    <w:p>
      <w:pPr>
        <w:pStyle w:val="BodyText"/>
      </w:pPr>
      <w:r>
        <w:t xml:space="preserve">Key questions for Q2:</w:t>
      </w:r>
    </w:p>
    <w:p>
      <w:pPr>
        <w:pStyle w:val="Compact"/>
        <w:numPr>
          <w:ilvl w:val="0"/>
          <w:numId w:val="1007"/>
        </w:numPr>
      </w:pPr>
      <w:r>
        <w:t xml:space="preserve">Is High-Tech still growing above 20%?</w:t>
      </w:r>
    </w:p>
    <w:p>
      <w:pPr>
        <w:pStyle w:val="Compact"/>
        <w:numPr>
          <w:ilvl w:val="0"/>
          <w:numId w:val="1007"/>
        </w:numPr>
      </w:pPr>
      <w:r>
        <w:t xml:space="preserve">Is Ovivo maintaining its expected mid-teens growth rate and elevated backlog?</w:t>
      </w:r>
    </w:p>
    <w:p>
      <w:pPr>
        <w:pStyle w:val="Compact"/>
        <w:numPr>
          <w:ilvl w:val="0"/>
          <w:numId w:val="1007"/>
        </w:numPr>
      </w:pPr>
      <w:r>
        <w:t xml:space="preserve">Have Paper and Heavy Water reached flat or positive territory?</w:t>
      </w:r>
    </w:p>
    <w:p>
      <w:pPr>
        <w:pStyle w:val="Compact"/>
        <w:numPr>
          <w:ilvl w:val="0"/>
          <w:numId w:val="1007"/>
        </w:numPr>
      </w:pPr>
      <w:r>
        <w:t xml:space="preserve">Is Water operating income beginning the progressive acceleration management promised?</w:t>
      </w:r>
    </w:p>
    <w:p>
      <w:pPr>
        <w:pStyle w:val="Compact"/>
        <w:numPr>
          <w:ilvl w:val="0"/>
          <w:numId w:val="1007"/>
        </w:numPr>
      </w:pPr>
      <w:r>
        <w:t xml:space="preserve">How much price-cost pressure remains in the segment?</w:t>
      </w:r>
    </w:p>
    <w:p>
      <w:pPr>
        <w:pStyle w:val="FirstParagraph"/>
      </w:pPr>
      <w:r>
        <w:t xml:space="preserve">A favorable report would show Global High-Tech remaining very strong while Paper and Heavy Water cease being incremental headwinds.</w:t>
      </w:r>
    </w:p>
    <w:bookmarkEnd w:id="14"/>
    <w:bookmarkStart w:id="15" w:name="X66ac9e17afc464e0ffdc59152547d4d3a5fb8f4"/>
    <w:p>
      <w:pPr>
        <w:pStyle w:val="Heading3"/>
      </w:pPr>
      <w:r>
        <w:t xml:space="preserve">Institutional &amp; Specialty: the earnings anchor</w:t>
      </w:r>
    </w:p>
    <w:p>
      <w:pPr>
        <w:pStyle w:val="FirstParagraph"/>
      </w:pPr>
      <w:r>
        <w:t xml:space="preserve">Institutional &amp; Specialty was Ecolab’s strongest large segment in Q1:</w:t>
      </w:r>
    </w:p>
    <w:p>
      <w:pPr>
        <w:pStyle w:val="Compact"/>
        <w:numPr>
          <w:ilvl w:val="0"/>
          <w:numId w:val="1008"/>
        </w:numPr>
      </w:pPr>
      <w:r>
        <w:t xml:space="preserve">Organic sales increased 4%.</w:t>
      </w:r>
    </w:p>
    <w:p>
      <w:pPr>
        <w:pStyle w:val="Compact"/>
        <w:numPr>
          <w:ilvl w:val="0"/>
          <w:numId w:val="1008"/>
        </w:numPr>
      </w:pPr>
      <w:r>
        <w:t xml:space="preserve">Organic operating income increased 13%.</w:t>
      </w:r>
    </w:p>
    <w:p>
      <w:pPr>
        <w:pStyle w:val="Compact"/>
        <w:numPr>
          <w:ilvl w:val="0"/>
          <w:numId w:val="1008"/>
        </w:numPr>
      </w:pPr>
      <w:r>
        <w:t xml:space="preserve">Organic margin expanded 180 basis points to 23.0%.</w:t>
      </w:r>
    </w:p>
    <w:p>
      <w:pPr>
        <w:pStyle w:val="Compact"/>
        <w:numPr>
          <w:ilvl w:val="0"/>
          <w:numId w:val="1008"/>
        </w:numPr>
      </w:pPr>
      <w:r>
        <w:t xml:space="preserve">Specialty grew 9%, while Institutional grew 2%.</w:t>
      </w:r>
    </w:p>
    <w:p>
      <w:pPr>
        <w:pStyle w:val="FirstParagraph"/>
      </w:pPr>
      <w:r>
        <w:t xml:space="preserve">This segment should continue providing stability through pricing, new business and productivity. Hospitality demand and Specialty share gains have offset softer hospital trends.</w:t>
      </w:r>
    </w:p>
    <w:p>
      <w:pPr>
        <w:pStyle w:val="BodyText"/>
      </w:pPr>
      <w:r>
        <w:t xml:space="preserve">The risk is that weaker restaurant traffic, hospitality demand or consumer spending begins to pressure volumes. However, Ecolab’s exposure across quick-service, full-service, lodging and food retail gives it some insulation as consumers shift spending between channels.</w:t>
      </w:r>
    </w:p>
    <w:p>
      <w:pPr>
        <w:pStyle w:val="BodyText"/>
      </w:pPr>
      <w:r>
        <w:t xml:space="preserve">Investors should look for:</w:t>
      </w:r>
    </w:p>
    <w:p>
      <w:pPr>
        <w:pStyle w:val="Compact"/>
        <w:numPr>
          <w:ilvl w:val="0"/>
          <w:numId w:val="1009"/>
        </w:numPr>
      </w:pPr>
      <w:r>
        <w:t xml:space="preserve">Institutional growth holding or improving from 2%.</w:t>
      </w:r>
    </w:p>
    <w:p>
      <w:pPr>
        <w:pStyle w:val="Compact"/>
        <w:numPr>
          <w:ilvl w:val="0"/>
          <w:numId w:val="1009"/>
        </w:numPr>
      </w:pPr>
      <w:r>
        <w:t xml:space="preserve">Specialty remaining well above company average.</w:t>
      </w:r>
    </w:p>
    <w:p>
      <w:pPr>
        <w:pStyle w:val="Compact"/>
        <w:numPr>
          <w:ilvl w:val="0"/>
          <w:numId w:val="1009"/>
        </w:numPr>
      </w:pPr>
      <w:r>
        <w:t xml:space="preserve">Continued margin expansion despite commodity inflation.</w:t>
      </w:r>
    </w:p>
    <w:p>
      <w:pPr>
        <w:pStyle w:val="Compact"/>
        <w:numPr>
          <w:ilvl w:val="0"/>
          <w:numId w:val="1009"/>
        </w:numPr>
      </w:pPr>
      <w:r>
        <w:t xml:space="preserve">Evidence that One Ecolab cross-selling is creating genuine share gains.</w:t>
      </w:r>
    </w:p>
    <w:bookmarkEnd w:id="15"/>
    <w:bookmarkStart w:id="16" w:name="X1fc52bc5d95525939dd613f66a111af2af28bea"/>
    <w:p>
      <w:pPr>
        <w:pStyle w:val="Heading3"/>
      </w:pPr>
      <w:r>
        <w:t xml:space="preserve">Life Sciences: proving that Q1 was a step change</w:t>
      </w:r>
    </w:p>
    <w:p>
      <w:pPr>
        <w:pStyle w:val="FirstParagraph"/>
      </w:pPr>
      <w:r>
        <w:t xml:space="preserve">Life Sciences delivered the most notable Q1 acceleration:</w:t>
      </w:r>
    </w:p>
    <w:p>
      <w:pPr>
        <w:pStyle w:val="Compact"/>
        <w:numPr>
          <w:ilvl w:val="0"/>
          <w:numId w:val="1010"/>
        </w:numPr>
      </w:pPr>
      <w:r>
        <w:t xml:space="preserve">Organic sales increased</w:t>
      </w:r>
      <w:r>
        <w:t xml:space="preserve"> </w:t>
      </w:r>
      <w:r>
        <w:rPr>
          <w:b/>
          <w:bCs/>
        </w:rPr>
        <w:t xml:space="preserve">11%</w:t>
      </w:r>
      <w:r>
        <w:t xml:space="preserve">.</w:t>
      </w:r>
    </w:p>
    <w:p>
      <w:pPr>
        <w:pStyle w:val="Compact"/>
        <w:numPr>
          <w:ilvl w:val="0"/>
          <w:numId w:val="1010"/>
        </w:numPr>
      </w:pPr>
      <w:r>
        <w:t xml:space="preserve">Bioprocessing sales more than doubled.</w:t>
      </w:r>
    </w:p>
    <w:p>
      <w:pPr>
        <w:pStyle w:val="Compact"/>
        <w:numPr>
          <w:ilvl w:val="0"/>
          <w:numId w:val="1010"/>
        </w:numPr>
      </w:pPr>
      <w:r>
        <w:t xml:space="preserve">Organic operating income increased 21%.</w:t>
      </w:r>
    </w:p>
    <w:p>
      <w:pPr>
        <w:pStyle w:val="Compact"/>
        <w:numPr>
          <w:ilvl w:val="0"/>
          <w:numId w:val="1010"/>
        </w:numPr>
      </w:pPr>
      <w:r>
        <w:t xml:space="preserve">Organic margin rose 160 basis points to 18.7%.</w:t>
      </w:r>
    </w:p>
    <w:p>
      <w:pPr>
        <w:pStyle w:val="FirstParagraph"/>
      </w:pPr>
      <w:r>
        <w:t xml:space="preserve">Management expects Life Sciences to remain a double-digit growth business and ultimately approach a 30% operating margin. Near-term margins will remain below that target because Ecolab is investing in capacity, innovation and global capabilities.</w:t>
      </w:r>
    </w:p>
    <w:p>
      <w:pPr>
        <w:pStyle w:val="BodyText"/>
      </w:pPr>
      <w:r>
        <w:t xml:space="preserve">The Q2 comparison is favorable on revenue—Life Sciences grew only 4% in Q2 2025—but tougher on operating income, which more than doubled last year.</w:t>
      </w:r>
    </w:p>
    <w:p>
      <w:pPr>
        <w:pStyle w:val="BodyText"/>
      </w:pPr>
      <w:r>
        <w:t xml:space="preserve">The most important indicators are:</w:t>
      </w:r>
    </w:p>
    <w:p>
      <w:pPr>
        <w:pStyle w:val="Compact"/>
        <w:numPr>
          <w:ilvl w:val="0"/>
          <w:numId w:val="1011"/>
        </w:numPr>
      </w:pPr>
      <w:r>
        <w:t xml:space="preserve">Whether organic sales remain in double digits.</w:t>
      </w:r>
    </w:p>
    <w:p>
      <w:pPr>
        <w:pStyle w:val="Compact"/>
        <w:numPr>
          <w:ilvl w:val="0"/>
          <w:numId w:val="1011"/>
        </w:numPr>
      </w:pPr>
      <w:r>
        <w:t xml:space="preserve">Whether bioprocessing momentum is broad-based rather than timing-driven.</w:t>
      </w:r>
    </w:p>
    <w:p>
      <w:pPr>
        <w:pStyle w:val="Compact"/>
        <w:numPr>
          <w:ilvl w:val="0"/>
          <w:numId w:val="1011"/>
        </w:numPr>
      </w:pPr>
      <w:r>
        <w:t xml:space="preserve">Progress resolving industrial water-purification capacity constraints.</w:t>
      </w:r>
    </w:p>
    <w:p>
      <w:pPr>
        <w:pStyle w:val="Compact"/>
        <w:numPr>
          <w:ilvl w:val="0"/>
          <w:numId w:val="1011"/>
        </w:numPr>
      </w:pPr>
      <w:r>
        <w:t xml:space="preserve">Timing of the new capacity expected to open in the second half.</w:t>
      </w:r>
    </w:p>
    <w:p>
      <w:pPr>
        <w:pStyle w:val="Compact"/>
        <w:numPr>
          <w:ilvl w:val="0"/>
          <w:numId w:val="1011"/>
        </w:numPr>
      </w:pPr>
      <w:r>
        <w:t xml:space="preserve">Whether margins can remain near 20% while investment continues.</w:t>
      </w:r>
    </w:p>
    <w:bookmarkEnd w:id="16"/>
    <w:bookmarkStart w:id="17" w:name="X333e748a806a9cd3b0a1d294cdf165ee6a03ed0"/>
    <w:p>
      <w:pPr>
        <w:pStyle w:val="Heading3"/>
      </w:pPr>
      <w:r>
        <w:t xml:space="preserve">Pest Elimination: growth good, margin progression needed</w:t>
      </w:r>
    </w:p>
    <w:p>
      <w:pPr>
        <w:pStyle w:val="FirstParagraph"/>
      </w:pPr>
      <w:r>
        <w:t xml:space="preserve">Pest delivered 7% organic growth and 10% organic operating-income growth in Q1. Its Pest Intelligence rollout is intended to improve service quality, retention and technician productivity over time.</w:t>
      </w:r>
    </w:p>
    <w:p>
      <w:pPr>
        <w:pStyle w:val="BodyText"/>
      </w:pPr>
      <w:r>
        <w:t xml:space="preserve">Management had approximately 700,000 connected devices deployed at the end of Q1 and expected to approach one million by year-end.</w:t>
      </w:r>
    </w:p>
    <w:p>
      <w:pPr>
        <w:pStyle w:val="BodyText"/>
      </w:pPr>
      <w:r>
        <w:t xml:space="preserve">Investors should focus on:</w:t>
      </w:r>
    </w:p>
    <w:p>
      <w:pPr>
        <w:pStyle w:val="Compact"/>
        <w:numPr>
          <w:ilvl w:val="0"/>
          <w:numId w:val="1012"/>
        </w:numPr>
      </w:pPr>
      <w:r>
        <w:t xml:space="preserve">Organic sales remaining in the mid- to high-single digits.</w:t>
      </w:r>
    </w:p>
    <w:p>
      <w:pPr>
        <w:pStyle w:val="Compact"/>
        <w:numPr>
          <w:ilvl w:val="0"/>
          <w:numId w:val="1012"/>
        </w:numPr>
      </w:pPr>
      <w:r>
        <w:t xml:space="preserve">Sequential margin expansion from Q1’s 17%.</w:t>
      </w:r>
    </w:p>
    <w:p>
      <w:pPr>
        <w:pStyle w:val="Compact"/>
        <w:numPr>
          <w:ilvl w:val="0"/>
          <w:numId w:val="1012"/>
        </w:numPr>
      </w:pPr>
      <w:r>
        <w:t xml:space="preserve">Adoption of connected pest devices.</w:t>
      </w:r>
    </w:p>
    <w:p>
      <w:pPr>
        <w:pStyle w:val="Compact"/>
        <w:numPr>
          <w:ilvl w:val="0"/>
          <w:numId w:val="1012"/>
        </w:numPr>
      </w:pPr>
      <w:r>
        <w:t xml:space="preserve">Whether rollout investments are beginning to produce measurable labor productivity.</w:t>
      </w:r>
    </w:p>
    <w:p>
      <w:r>
        <w:pict>
          <v:rect style="width:0;height:1.5pt" o:hralign="center" o:hrstd="t" o:hr="t"/>
        </w:pict>
      </w:r>
    </w:p>
    <w:bookmarkEnd w:id="17"/>
    <w:bookmarkEnd w:id="18"/>
    <w:bookmarkStart w:id="20" w:name="X992ac9a4d8d099c687ead640dfff810610759b0"/>
    <w:p>
      <w:pPr>
        <w:pStyle w:val="Heading2"/>
      </w:pPr>
      <w:r>
        <w:t xml:space="preserve">4. CoolIT changes the financial discussion</w:t>
      </w:r>
    </w:p>
    <w:p>
      <w:pPr>
        <w:pStyle w:val="FirstParagraph"/>
      </w:pPr>
      <w:r>
        <w:t xml:space="preserve">CoolIT is strategically important because it adds direct-to-chip liquid cooling to Ecolab’s existing data-center water-management capabilities. Combined with Ovivo and legacy High-Tech operations, management expects a roughly</w:t>
      </w:r>
      <w:r>
        <w:t xml:space="preserve"> </w:t>
      </w:r>
      <w:r>
        <w:rPr>
          <w:b/>
          <w:bCs/>
        </w:rPr>
        <w:t xml:space="preserve">$1.5 billion High-Tech platform</w:t>
      </w:r>
      <w:r>
        <w:t xml:space="preserve"> </w:t>
      </w:r>
      <w:r>
        <w:t xml:space="preserve">with strong growth and attractive margins.</w:t>
      </w:r>
    </w:p>
    <w:p>
      <w:pPr>
        <w:pStyle w:val="BodyText"/>
      </w:pPr>
      <w:r>
        <w:t xml:space="preserve">At the April earnings call, Ecolab said:</w:t>
      </w:r>
    </w:p>
    <w:p>
      <w:pPr>
        <w:pStyle w:val="Compact"/>
        <w:numPr>
          <w:ilvl w:val="0"/>
          <w:numId w:val="1013"/>
        </w:numPr>
      </w:pPr>
      <w:r>
        <w:t xml:space="preserve">CoolIT was growing substantially faster than its original 30%-plus assumption, with Q1 growth described as close to triple digits.</w:t>
      </w:r>
    </w:p>
    <w:p>
      <w:pPr>
        <w:pStyle w:val="Compact"/>
        <w:numPr>
          <w:ilvl w:val="0"/>
          <w:numId w:val="1013"/>
        </w:numPr>
      </w:pPr>
      <w:r>
        <w:t xml:space="preserve">The transaction was expected to close in Q3.</w:t>
      </w:r>
    </w:p>
    <w:p>
      <w:pPr>
        <w:pStyle w:val="Compact"/>
        <w:numPr>
          <w:ilvl w:val="0"/>
          <w:numId w:val="1013"/>
        </w:numPr>
      </w:pPr>
      <w:r>
        <w:t xml:space="preserve">The acquisition would reduce adjusted EPS by approximately</w:t>
      </w:r>
      <w:r>
        <w:t xml:space="preserve"> </w:t>
      </w:r>
      <w:r>
        <w:rPr>
          <w:b/>
          <w:bCs/>
        </w:rPr>
        <w:t xml:space="preserve">$0.20 per quarter following closing</w:t>
      </w:r>
      <w:r>
        <w:t xml:space="preserve"> </w:t>
      </w:r>
      <w:r>
        <w:t xml:space="preserve">during 2026.</w:t>
      </w:r>
    </w:p>
    <w:p>
      <w:pPr>
        <w:pStyle w:val="Compact"/>
        <w:numPr>
          <w:ilvl w:val="0"/>
          <w:numId w:val="1013"/>
        </w:numPr>
      </w:pPr>
      <w:r>
        <w:t xml:space="preserve">CoolIT should become approximately neutral to EPS in 2027, helped by the roll-off of Nalco-related amortization.</w:t>
      </w:r>
    </w:p>
    <w:p>
      <w:pPr>
        <w:pStyle w:val="Compact"/>
        <w:numPr>
          <w:ilvl w:val="0"/>
          <w:numId w:val="1013"/>
        </w:numPr>
      </w:pPr>
      <w:r>
        <w:t xml:space="preserve">The original EPS-impact assumptions were based on roughly 30%-plus growth, creating potential upside if recent momentum persists.</w:t>
      </w:r>
    </w:p>
    <w:bookmarkStart w:id="19" w:name="financing-deserves-close-attention"/>
    <w:p>
      <w:pPr>
        <w:pStyle w:val="Heading3"/>
      </w:pPr>
      <w:r>
        <w:t xml:space="preserve">Financing deserves close attention</w:t>
      </w:r>
    </w:p>
    <w:p>
      <w:pPr>
        <w:pStyle w:val="FirstParagraph"/>
      </w:pPr>
      <w:r>
        <w:t xml:space="preserve">On May 29, Ecolab issued</w:t>
      </w:r>
      <w:r>
        <w:t xml:space="preserve"> </w:t>
      </w:r>
      <m:oMath>
        <m:r>
          <m:t>5.0</m:t>
        </m:r>
        <m:r>
          <m:t>b</m:t>
        </m:r>
        <m:r>
          <m:t>i</m:t>
        </m:r>
        <m:r>
          <m:t>l</m:t>
        </m:r>
        <m:r>
          <m:t>l</m:t>
        </m:r>
        <m:r>
          <m:t>i</m:t>
        </m:r>
        <m:r>
          <m:t>o</m:t>
        </m:r>
        <m:r>
          <m:t>n</m:t>
        </m:r>
        <m:r>
          <m:t>o</m:t>
        </m:r>
        <m:r>
          <m:t>f</m:t>
        </m:r>
        <m:r>
          <m:t>d</m:t>
        </m:r>
        <m:r>
          <m:t>e</m:t>
        </m:r>
        <m:r>
          <m:t>b</m:t>
        </m:r>
        <m:r>
          <m:t>t</m:t>
        </m:r>
        <m:r>
          <m:rPr>
            <m:sty m:val="p"/>
          </m:rPr>
          <m:t>*</m:t>
        </m:r>
        <m:r>
          <m:rPr>
            <m:sty m:val="p"/>
          </m:rPr>
          <m:t>*</m:t>
        </m:r>
        <m:r>
          <m:t>t</m:t>
        </m:r>
        <m:r>
          <m:t>o</m:t>
        </m:r>
        <m:r>
          <m:t>f</m:t>
        </m:r>
        <m:r>
          <m:t>u</m:t>
        </m:r>
        <m:r>
          <m:t>n</m:t>
        </m:r>
        <m:r>
          <m:t>d</m:t>
        </m:r>
        <m:r>
          <m:t>t</m:t>
        </m:r>
        <m:r>
          <m:t>h</m:t>
        </m:r>
        <m:r>
          <m:t>e</m:t>
        </m:r>
        <m:r>
          <m:t>a</m:t>
        </m:r>
        <m:r>
          <m:t>c</m:t>
        </m:r>
        <m:r>
          <m:t>q</m:t>
        </m:r>
        <m:r>
          <m:t>u</m:t>
        </m:r>
        <m:r>
          <m:t>i</m:t>
        </m:r>
        <m:r>
          <m:t>s</m:t>
        </m:r>
        <m:r>
          <m:t>i</m:t>
        </m:r>
        <m:r>
          <m:t>t</m:t>
        </m:r>
        <m:r>
          <m:t>i</m:t>
        </m:r>
        <m:r>
          <m:t>o</m:t>
        </m:r>
        <m:r>
          <m:t>n</m:t>
        </m:r>
        <m:r>
          <m:t>a</m:t>
        </m:r>
        <m:r>
          <m:t>n</m:t>
        </m:r>
        <m:r>
          <m:t>d</m:t>
        </m:r>
        <m:r>
          <m:t>f</m:t>
        </m:r>
        <m:r>
          <m:t>o</m:t>
        </m:r>
        <m:r>
          <m:t>r</m:t>
        </m:r>
        <m:r>
          <m:t>g</m:t>
        </m:r>
        <m:r>
          <m:t>e</m:t>
        </m:r>
        <m:r>
          <m:t>n</m:t>
        </m:r>
        <m:r>
          <m:t>e</m:t>
        </m:r>
        <m:r>
          <m:t>r</m:t>
        </m:r>
        <m:r>
          <m:t>a</m:t>
        </m:r>
        <m:r>
          <m:t>l</m:t>
        </m:r>
        <m:r>
          <m:t>c</m:t>
        </m:r>
        <m:r>
          <m:t>o</m:t>
        </m:r>
        <m:r>
          <m:t>r</m:t>
        </m:r>
        <m:r>
          <m:t>p</m:t>
        </m:r>
        <m:r>
          <m:t>o</m:t>
        </m:r>
        <m:r>
          <m:t>r</m:t>
        </m:r>
        <m:r>
          <m:t>a</m:t>
        </m:r>
        <m:r>
          <m:t>t</m:t>
        </m:r>
        <m:r>
          <m:t>e</m:t>
        </m:r>
        <m:r>
          <m:t>p</m:t>
        </m:r>
        <m:r>
          <m:t>u</m:t>
        </m:r>
        <m:r>
          <m:t>r</m:t>
        </m:r>
        <m:r>
          <m:t>p</m:t>
        </m:r>
        <m:r>
          <m:t>o</m:t>
        </m:r>
        <m:r>
          <m:t>s</m:t>
        </m:r>
        <m:r>
          <m:t>e</m:t>
        </m:r>
        <m:r>
          <m:t>s</m:t>
        </m:r>
        <m:r>
          <m:rPr>
            <m:sty m:val="p"/>
          </m:rPr>
          <m:t>.</m:t>
        </m:r>
        <m:r>
          <m:t>T</m:t>
        </m:r>
        <m:r>
          <m:t>h</m:t>
        </m:r>
        <m:r>
          <m:t>e</m:t>
        </m:r>
        <m:r>
          <m:t>f</m:t>
        </m:r>
        <m:r>
          <m:t>o</m:t>
        </m:r>
        <m:r>
          <m:t>u</m:t>
        </m:r>
        <m:r>
          <m:t>r</m:t>
        </m:r>
        <m:r>
          <m:t>t</m:t>
        </m:r>
        <m:r>
          <m:t>r</m:t>
        </m:r>
        <m:r>
          <m:t>a</m:t>
        </m:r>
        <m:r>
          <m:t>n</m:t>
        </m:r>
        <m:r>
          <m:t>c</m:t>
        </m:r>
        <m:r>
          <m:t>h</m:t>
        </m:r>
        <m:r>
          <m:t>e</m:t>
        </m:r>
        <m:r>
          <m:t>s</m:t>
        </m:r>
        <m:r>
          <m:t>c</m:t>
        </m:r>
        <m:r>
          <m:t>a</m:t>
        </m:r>
        <m:r>
          <m:t>r</m:t>
        </m:r>
        <m:r>
          <m:t>r</m:t>
        </m:r>
        <m:r>
          <m:t>y</m:t>
        </m:r>
        <m:r>
          <m:t>c</m:t>
        </m:r>
        <m:r>
          <m:t>o</m:t>
        </m:r>
        <m:r>
          <m:t>u</m:t>
        </m:r>
        <m:r>
          <m:t>p</m:t>
        </m:r>
        <m:r>
          <m:t>o</m:t>
        </m:r>
        <m:r>
          <m:t>n</m:t>
        </m:r>
        <m:r>
          <m:t>s</m:t>
        </m:r>
        <m:r>
          <m:t>b</m:t>
        </m:r>
        <m:r>
          <m:t>e</m:t>
        </m:r>
        <m:r>
          <m:t>t</m:t>
        </m:r>
        <m:r>
          <m:t>w</m:t>
        </m:r>
        <m:r>
          <m:t>e</m:t>
        </m:r>
        <m:r>
          <m:t>e</m:t>
        </m:r>
        <m:r>
          <m:t>n</m:t>
        </m:r>
        <m:r>
          <m:t>4.6</m:t>
        </m:r>
      </m:oMath>
      <w:r>
        <w:rPr>
          <w:b/>
          <w:bCs/>
        </w:rPr>
        <w:t xml:space="preserve">251 million of annual gross coupon expense</w:t>
      </w:r>
      <w:r>
        <w:t xml:space="preserve"> </w:t>
      </w:r>
      <w:r>
        <w:t xml:space="preserve">before considering cash interest income or other offsets.</w:t>
      </w:r>
    </w:p>
    <w:p>
      <w:pPr>
        <w:pStyle w:val="BodyText"/>
      </w:pPr>
      <w:r>
        <w:t xml:space="preserve">As of the latest documents available before the report, Ecolab had not announced completion of the transaction. Investors need updated answers on:</w:t>
      </w:r>
    </w:p>
    <w:p>
      <w:pPr>
        <w:pStyle w:val="Compact"/>
        <w:numPr>
          <w:ilvl w:val="0"/>
          <w:numId w:val="1014"/>
        </w:numPr>
      </w:pPr>
      <w:r>
        <w:t xml:space="preserve">Regulatory approval and the expected closing date.</w:t>
      </w:r>
    </w:p>
    <w:p>
      <w:pPr>
        <w:pStyle w:val="Compact"/>
        <w:numPr>
          <w:ilvl w:val="0"/>
          <w:numId w:val="1014"/>
        </w:numPr>
      </w:pPr>
      <w:r>
        <w:t xml:space="preserve">Whether CoolIT’s exceptional early-2026 growth has continued.</w:t>
      </w:r>
    </w:p>
    <w:p>
      <w:pPr>
        <w:pStyle w:val="Compact"/>
        <w:numPr>
          <w:ilvl w:val="0"/>
          <w:numId w:val="1014"/>
        </w:numPr>
      </w:pPr>
      <w:r>
        <w:t xml:space="preserve">The current order book and production capacity.</w:t>
      </w:r>
    </w:p>
    <w:p>
      <w:pPr>
        <w:pStyle w:val="Compact"/>
        <w:numPr>
          <w:ilvl w:val="0"/>
          <w:numId w:val="1014"/>
        </w:numPr>
      </w:pPr>
      <w:r>
        <w:t xml:space="preserve">Updated 2026 dilution, including interest on debt issued before closing.</w:t>
      </w:r>
    </w:p>
    <w:p>
      <w:pPr>
        <w:pStyle w:val="Compact"/>
        <w:numPr>
          <w:ilvl w:val="0"/>
          <w:numId w:val="1014"/>
        </w:numPr>
      </w:pPr>
      <w:r>
        <w:t xml:space="preserve">The expected leverage profile after closing.</w:t>
      </w:r>
    </w:p>
    <w:p>
      <w:pPr>
        <w:pStyle w:val="Compact"/>
        <w:numPr>
          <w:ilvl w:val="0"/>
          <w:numId w:val="1014"/>
        </w:numPr>
      </w:pPr>
      <w:r>
        <w:t xml:space="preserve">Whether the $0.20 quarterly EPS impact remains a reasonable base case.</w:t>
      </w:r>
    </w:p>
    <w:p>
      <w:pPr>
        <w:pStyle w:val="Compact"/>
        <w:numPr>
          <w:ilvl w:val="0"/>
          <w:numId w:val="1014"/>
        </w:numPr>
      </w:pPr>
      <w:r>
        <w:t xml:space="preserve">The path to accretion beyond 2027.</w:t>
      </w:r>
    </w:p>
    <w:p>
      <w:pPr>
        <w:pStyle w:val="FirstParagraph"/>
      </w:pPr>
      <w:r>
        <w:t xml:space="preserve">The strategic case may be attractive, but the acquisition increases the importance of execution, integration and deleveraging.</w:t>
      </w:r>
    </w:p>
    <w:p>
      <w:r>
        <w:pict>
          <v:rect style="width:0;height:1.5pt" o:hralign="center" o:hrstd="t" o:hr="t"/>
        </w:pict>
      </w:r>
    </w:p>
    <w:bookmarkEnd w:id="19"/>
    <w:bookmarkEnd w:id="20"/>
    <w:bookmarkStart w:id="21" w:name="X4b0c5bc16d8929d4932ef481d9448f7aa468892"/>
    <w:p>
      <w:pPr>
        <w:pStyle w:val="Heading2"/>
      </w:pPr>
      <w:r>
        <w:t xml:space="preserve">5. Full-year guidance matters more than Q2 EPS</w:t>
      </w:r>
    </w:p>
    <w:p>
      <w:pPr>
        <w:pStyle w:val="FirstParagraph"/>
      </w:pPr>
      <w:r>
        <w:t xml:space="preserve">Ecolab needs Q2 EPS of at least $2.02 to enter the second half broadly on its original trajectory. But the more important test is whether management reiterates all three pillars of its full-year framework:</w:t>
      </w:r>
    </w:p>
    <w:p>
      <w:pPr>
        <w:pStyle w:val="Compact"/>
        <w:numPr>
          <w:ilvl w:val="0"/>
          <w:numId w:val="1015"/>
        </w:numPr>
      </w:pPr>
      <m:oMath>
        <m:r>
          <m:t>8.43</m:t>
        </m:r>
        <m:r>
          <m:rPr>
            <m:sty m:val="p"/>
          </m:rPr>
          <m:t>–</m:t>
        </m:r>
      </m:oMath>
      <w:r>
        <w:rPr>
          <w:b/>
          <w:bCs/>
        </w:rPr>
        <w:t xml:space="preserve">8.63 adjusted EPS excluding CoolIT</w:t>
      </w:r>
      <w:r>
        <w:t xml:space="preserve">;</w:t>
      </w:r>
    </w:p>
    <w:p>
      <w:pPr>
        <w:pStyle w:val="Compact"/>
        <w:numPr>
          <w:ilvl w:val="0"/>
          <w:numId w:val="1015"/>
        </w:numPr>
      </w:pPr>
      <w:r>
        <w:rPr>
          <w:b/>
          <w:bCs/>
        </w:rPr>
        <w:t xml:space="preserve">approximately 19% adjusted operating margin</w:t>
      </w:r>
      <w:r>
        <w:t xml:space="preserve">; and</w:t>
      </w:r>
    </w:p>
    <w:p>
      <w:pPr>
        <w:pStyle w:val="Compact"/>
        <w:numPr>
          <w:ilvl w:val="0"/>
          <w:numId w:val="1015"/>
        </w:numPr>
      </w:pPr>
      <w:r>
        <w:rPr>
          <w:b/>
          <w:bCs/>
        </w:rPr>
        <w:t xml:space="preserve">6%–7% second-half organic growth</w:t>
      </w:r>
      <w:r>
        <w:t xml:space="preserve">.</w:t>
      </w:r>
    </w:p>
    <w:p>
      <w:pPr>
        <w:pStyle w:val="FirstParagraph"/>
      </w:pPr>
      <w:r>
        <w:t xml:space="preserve">Maintaining EPS guidance while reducing the margin or organic-growth outlook would be a lower-quality reaffirmation. Conversely, holding all three targets despite higher energy costs would reinforce the company’s pricing power and productivity credentials.</w:t>
      </w:r>
    </w:p>
    <w:p>
      <w:pPr>
        <w:pStyle w:val="BodyText"/>
      </w:pPr>
      <w:r>
        <w:t xml:space="preserve">Management has characterized the 20% operating-margin target for 2027 as highly achievable. To sustain that confidence, Ecolab should exit 2026 near 19% with price-cost under control, continued SG&amp;A leverage and a richer mix of High-Tech, Life Sciences, digital and Pest Intelligence revenue.</w:t>
      </w:r>
    </w:p>
    <w:p>
      <w:r>
        <w:pict>
          <v:rect style="width:0;height:1.5pt" o:hralign="center" o:hrstd="t" o:hr="t"/>
        </w:pict>
      </w:r>
    </w:p>
    <w:bookmarkEnd w:id="21"/>
    <w:bookmarkStart w:id="22" w:name="stock-setup-and-expectations"/>
    <w:p>
      <w:pPr>
        <w:pStyle w:val="Heading2"/>
      </w:pPr>
      <w:r>
        <w:t xml:space="preserve">Stock setup and expectations</w:t>
      </w:r>
    </w:p>
    <w:p>
      <w:pPr>
        <w:pStyle w:val="FirstParagraph"/>
      </w:pPr>
      <w:r>
        <w:t xml:space="preserve">ECL closed at</w:t>
      </w:r>
      <w:r>
        <w:t xml:space="preserve"> </w:t>
      </w:r>
      <w:r>
        <w:rPr>
          <w:b/>
          <w:bCs/>
        </w:rPr>
        <w:t xml:space="preserve">$271.42 on July 27</w:t>
      </w:r>
      <w:r>
        <w:t xml:space="preserve">. That is:</w:t>
      </w:r>
    </w:p>
    <w:p>
      <w:pPr>
        <w:pStyle w:val="Compact"/>
        <w:numPr>
          <w:ilvl w:val="0"/>
          <w:numId w:val="1016"/>
        </w:numPr>
      </w:pPr>
      <w:r>
        <w:t xml:space="preserve">approximately 3% above its 2025 year-end price;</w:t>
      </w:r>
    </w:p>
    <w:p>
      <w:pPr>
        <w:pStyle w:val="Compact"/>
        <w:numPr>
          <w:ilvl w:val="0"/>
          <w:numId w:val="1016"/>
        </w:numPr>
      </w:pPr>
      <w:r>
        <w:t xml:space="preserve">roughly 2% above its April 28 earnings-day close; and</w:t>
      </w:r>
    </w:p>
    <w:p>
      <w:pPr>
        <w:pStyle w:val="Compact"/>
        <w:numPr>
          <w:ilvl w:val="0"/>
          <w:numId w:val="1016"/>
        </w:numPr>
      </w:pPr>
      <w:r>
        <w:t xml:space="preserve">about 11% below its February high.</w:t>
      </w:r>
    </w:p>
    <w:p>
      <w:pPr>
        <w:pStyle w:val="FirstParagraph"/>
      </w:pPr>
      <w:r>
        <w:t xml:space="preserve">At the current price, the shares trade at approximately</w:t>
      </w:r>
      <w:r>
        <w:t xml:space="preserve"> </w:t>
      </w:r>
      <w:r>
        <w:rPr>
          <w:b/>
          <w:bCs/>
        </w:rPr>
        <w:t xml:space="preserve">31.8 times</w:t>
      </w:r>
      <w:r>
        <w:t xml:space="preserve"> </w:t>
      </w:r>
      <w:r>
        <w:t xml:space="preserve">the midpoint of Ecolab’s 2026 adjusted EPS guidance, excluding CoolIT.</w:t>
      </w:r>
    </w:p>
    <w:p>
      <w:pPr>
        <w:pStyle w:val="BodyText"/>
      </w:pPr>
      <w:r>
        <w:t xml:space="preserve">That valuation reflects confidence in Ecolab’s recurring revenue, pricing power and long-term margin expansion. It also leaves limited room for a guidance reduction. Investors are effectively paying for successful surcharge execution, sustained double-digit earnings growth and eventual value creation from CoolIT.</w:t>
      </w:r>
    </w:p>
    <w:p>
      <w:r>
        <w:pict>
          <v:rect style="width:0;height:1.5pt" o:hralign="center" o:hrstd="t" o:hr="t"/>
        </w:pict>
      </w:r>
    </w:p>
    <w:bookmarkEnd w:id="22"/>
    <w:bookmarkStart w:id="26" w:name="potential-reaction-framework"/>
    <w:p>
      <w:pPr>
        <w:pStyle w:val="Heading2"/>
      </w:pPr>
      <w:r>
        <w:t xml:space="preserve">Potential reaction framework</w:t>
      </w:r>
    </w:p>
    <w:bookmarkStart w:id="23" w:name="bull-case"/>
    <w:p>
      <w:pPr>
        <w:pStyle w:val="Heading3"/>
      </w:pPr>
      <w:r>
        <w:t xml:space="preserve">Bull case</w:t>
      </w:r>
    </w:p>
    <w:p>
      <w:pPr>
        <w:pStyle w:val="Compact"/>
        <w:numPr>
          <w:ilvl w:val="0"/>
          <w:numId w:val="1017"/>
        </w:numPr>
      </w:pPr>
      <w:r>
        <w:t xml:space="preserve">Adjusted EPS at or above the upper end of guidance.</w:t>
      </w:r>
    </w:p>
    <w:p>
      <w:pPr>
        <w:pStyle w:val="Compact"/>
        <w:numPr>
          <w:ilvl w:val="0"/>
          <w:numId w:val="1017"/>
        </w:numPr>
      </w:pPr>
      <w:r>
        <w:t xml:space="preserve">Commodity inflation no worse than the high-single-digit assumption.</w:t>
      </w:r>
    </w:p>
    <w:p>
      <w:pPr>
        <w:pStyle w:val="Compact"/>
        <w:numPr>
          <w:ilvl w:val="0"/>
          <w:numId w:val="1017"/>
        </w:numPr>
      </w:pPr>
      <w:r>
        <w:t xml:space="preserve">Pricing fully offsets incremental cost dollars at the June exit rate.</w:t>
      </w:r>
    </w:p>
    <w:p>
      <w:pPr>
        <w:pStyle w:val="Compact"/>
        <w:numPr>
          <w:ilvl w:val="0"/>
          <w:numId w:val="1017"/>
        </w:numPr>
      </w:pPr>
      <w:r>
        <w:t xml:space="preserve">Positive volumes despite higher prices.</w:t>
      </w:r>
    </w:p>
    <w:p>
      <w:pPr>
        <w:pStyle w:val="Compact"/>
        <w:numPr>
          <w:ilvl w:val="0"/>
          <w:numId w:val="1017"/>
        </w:numPr>
      </w:pPr>
      <w:r>
        <w:t xml:space="preserve">H2 organic growth, 19% margin and full-year EPS targets reaffirmed.</w:t>
      </w:r>
    </w:p>
    <w:p>
      <w:pPr>
        <w:pStyle w:val="Compact"/>
        <w:numPr>
          <w:ilvl w:val="0"/>
          <w:numId w:val="1017"/>
        </w:numPr>
      </w:pPr>
      <w:r>
        <w:t xml:space="preserve">High-Tech and Life Sciences remain above 20% and 10% growth, respectively.</w:t>
      </w:r>
    </w:p>
    <w:p>
      <w:pPr>
        <w:pStyle w:val="Compact"/>
        <w:numPr>
          <w:ilvl w:val="0"/>
          <w:numId w:val="1017"/>
        </w:numPr>
      </w:pPr>
      <w:r>
        <w:t xml:space="preserve">CoolIT momentum and closing timetable remain favorable.</w:t>
      </w:r>
    </w:p>
    <w:p>
      <w:pPr>
        <w:pStyle w:val="FirstParagraph"/>
      </w:pPr>
      <w:r>
        <w:t xml:space="preserve">This would support the argument that Q2 was merely a temporary earnings-growth trough.</w:t>
      </w:r>
    </w:p>
    <w:bookmarkEnd w:id="23"/>
    <w:bookmarkStart w:id="24" w:name="base-case"/>
    <w:p>
      <w:pPr>
        <w:pStyle w:val="Heading3"/>
      </w:pPr>
      <w:r>
        <w:t xml:space="preserve">Base case</w:t>
      </w:r>
    </w:p>
    <w:p>
      <w:pPr>
        <w:pStyle w:val="Compact"/>
        <w:numPr>
          <w:ilvl w:val="0"/>
          <w:numId w:val="1018"/>
        </w:numPr>
      </w:pPr>
      <w:r>
        <w:t xml:space="preserve">EPS near the $2.07 midpoint.</w:t>
      </w:r>
    </w:p>
    <w:p>
      <w:pPr>
        <w:pStyle w:val="Compact"/>
        <w:numPr>
          <w:ilvl w:val="0"/>
          <w:numId w:val="1018"/>
        </w:numPr>
      </w:pPr>
      <w:r>
        <w:t xml:space="preserve">Organic sales improve modestly, primarily through pricing.</w:t>
      </w:r>
    </w:p>
    <w:p>
      <w:pPr>
        <w:pStyle w:val="Compact"/>
        <w:numPr>
          <w:ilvl w:val="0"/>
          <w:numId w:val="1018"/>
        </w:numPr>
      </w:pPr>
      <w:r>
        <w:t xml:space="preserve">Price-cost is close to neutral but not yet fully recovered.</w:t>
      </w:r>
    </w:p>
    <w:p>
      <w:pPr>
        <w:pStyle w:val="Compact"/>
        <w:numPr>
          <w:ilvl w:val="0"/>
          <w:numId w:val="1018"/>
        </w:numPr>
      </w:pPr>
      <w:r>
        <w:t xml:space="preserve">Full-year guidance is maintained.</w:t>
      </w:r>
    </w:p>
    <w:p>
      <w:pPr>
        <w:pStyle w:val="Compact"/>
        <w:numPr>
          <w:ilvl w:val="0"/>
          <w:numId w:val="1018"/>
        </w:numPr>
      </w:pPr>
      <w:r>
        <w:t xml:space="preserve">Management continues to expect stronger Q3 and Q4 growth.</w:t>
      </w:r>
    </w:p>
    <w:p>
      <w:pPr>
        <w:pStyle w:val="Compact"/>
        <w:numPr>
          <w:ilvl w:val="0"/>
          <w:numId w:val="1018"/>
        </w:numPr>
      </w:pPr>
      <w:r>
        <w:t xml:space="preserve">CoolIT remains on schedule but the EPS impact is unchanged.</w:t>
      </w:r>
    </w:p>
    <w:p>
      <w:pPr>
        <w:pStyle w:val="FirstParagraph"/>
      </w:pPr>
      <w:r>
        <w:t xml:space="preserve">Given the valuation, a merely in-line report may produce a muted reaction unless the call provides strong evidence of second-half margin acceleration.</w:t>
      </w:r>
    </w:p>
    <w:bookmarkEnd w:id="24"/>
    <w:bookmarkStart w:id="25" w:name="bear-case"/>
    <w:p>
      <w:pPr>
        <w:pStyle w:val="Heading3"/>
      </w:pPr>
      <w:r>
        <w:t xml:space="preserve">Bear case</w:t>
      </w:r>
    </w:p>
    <w:p>
      <w:pPr>
        <w:pStyle w:val="Compact"/>
        <w:numPr>
          <w:ilvl w:val="0"/>
          <w:numId w:val="1019"/>
        </w:numPr>
      </w:pPr>
      <w:r>
        <w:t xml:space="preserve">EPS below $2.02.</w:t>
      </w:r>
    </w:p>
    <w:p>
      <w:pPr>
        <w:pStyle w:val="Compact"/>
        <w:numPr>
          <w:ilvl w:val="0"/>
          <w:numId w:val="1019"/>
        </w:numPr>
      </w:pPr>
      <w:r>
        <w:t xml:space="preserve">Commodity inflation has moved above the prior assumption.</w:t>
      </w:r>
    </w:p>
    <w:p>
      <w:pPr>
        <w:pStyle w:val="Compact"/>
        <w:numPr>
          <w:ilvl w:val="0"/>
          <w:numId w:val="1019"/>
        </w:numPr>
      </w:pPr>
      <w:r>
        <w:t xml:space="preserve">Surcharge realization is delayed or volumes turn negative.</w:t>
      </w:r>
    </w:p>
    <w:p>
      <w:pPr>
        <w:pStyle w:val="Compact"/>
        <w:numPr>
          <w:ilvl w:val="0"/>
          <w:numId w:val="1019"/>
        </w:numPr>
      </w:pPr>
      <w:r>
        <w:t xml:space="preserve">H2 organic-growth or 19% margin guidance is reduced.</w:t>
      </w:r>
    </w:p>
    <w:p>
      <w:pPr>
        <w:pStyle w:val="Compact"/>
        <w:numPr>
          <w:ilvl w:val="0"/>
          <w:numId w:val="1019"/>
        </w:numPr>
      </w:pPr>
      <w:r>
        <w:t xml:space="preserve">Paper and Heavy Water weaken further.</w:t>
      </w:r>
    </w:p>
    <w:p>
      <w:pPr>
        <w:pStyle w:val="Compact"/>
        <w:numPr>
          <w:ilvl w:val="0"/>
          <w:numId w:val="1019"/>
        </w:numPr>
      </w:pPr>
      <w:r>
        <w:t xml:space="preserve">Life Sciences falls back below double-digit growth.</w:t>
      </w:r>
    </w:p>
    <w:p>
      <w:pPr>
        <w:pStyle w:val="Compact"/>
        <w:numPr>
          <w:ilvl w:val="0"/>
          <w:numId w:val="1019"/>
        </w:numPr>
      </w:pPr>
      <w:r>
        <w:t xml:space="preserve">CoolIT closes later than expected or near-term dilution increases.</w:t>
      </w:r>
    </w:p>
    <w:p>
      <w:pPr>
        <w:pStyle w:val="FirstParagraph"/>
      </w:pPr>
      <w:r>
        <w:t xml:space="preserve">The most damaging outcome would be a delay in price-cost recovery combined with higher CoolIT financing expense, since that would pressure both the core earnings outlook and the acquisition narrative.</w:t>
      </w:r>
    </w:p>
    <w:p>
      <w:r>
        <w:pict>
          <v:rect style="width:0;height:1.5pt" o:hralign="center" o:hrstd="t" o:hr="t"/>
        </w:pict>
      </w:r>
    </w:p>
    <w:bookmarkEnd w:id="25"/>
    <w:bookmarkEnd w:id="26"/>
    <w:bookmarkStart w:id="27" w:name="X58422062a0248c0c9192c6cbd312793331b04c1"/>
    <w:p>
      <w:pPr>
        <w:pStyle w:val="Heading2"/>
      </w:pPr>
      <w:r>
        <w:t xml:space="preserve">Questions management should answer on the call</w:t>
      </w:r>
    </w:p>
    <w:p>
      <w:pPr>
        <w:pStyle w:val="Compact"/>
        <w:numPr>
          <w:ilvl w:val="0"/>
          <w:numId w:val="1020"/>
        </w:numPr>
      </w:pPr>
      <w:r>
        <w:rPr>
          <w:b/>
          <w:bCs/>
        </w:rPr>
        <w:t xml:space="preserve">Was price-cost neutral in dollars as Ecolab exited June?</w:t>
      </w:r>
    </w:p>
    <w:p>
      <w:pPr>
        <w:pStyle w:val="Compact"/>
        <w:numPr>
          <w:ilvl w:val="0"/>
          <w:numId w:val="1020"/>
        </w:numPr>
      </w:pPr>
      <w:r>
        <w:t xml:space="preserve">What was organic pricing at quarter-end, and is Ecolab already near the 5%–6% level assumed for H2?</w:t>
      </w:r>
    </w:p>
    <w:p>
      <w:pPr>
        <w:pStyle w:val="Compact"/>
        <w:numPr>
          <w:ilvl w:val="0"/>
          <w:numId w:val="1020"/>
        </w:numPr>
      </w:pPr>
      <w:r>
        <w:t xml:space="preserve">Has the commodity-cost forecast moved above high single digits following the latest energy-price increases?</w:t>
      </w:r>
    </w:p>
    <w:p>
      <w:pPr>
        <w:pStyle w:val="Compact"/>
        <w:numPr>
          <w:ilvl w:val="0"/>
          <w:numId w:val="1020"/>
        </w:numPr>
      </w:pPr>
      <w:r>
        <w:t xml:space="preserve">Is 6%–7% H2 organic growth still based on approximately 1% volume growth?</w:t>
      </w:r>
    </w:p>
    <w:p>
      <w:pPr>
        <w:pStyle w:val="Compact"/>
        <w:numPr>
          <w:ilvl w:val="0"/>
          <w:numId w:val="1020"/>
        </w:numPr>
      </w:pPr>
      <w:r>
        <w:t xml:space="preserve">How did volumes perform after the surcharge was implemented?</w:t>
      </w:r>
    </w:p>
    <w:p>
      <w:pPr>
        <w:pStyle w:val="Compact"/>
        <w:numPr>
          <w:ilvl w:val="0"/>
          <w:numId w:val="1020"/>
        </w:numPr>
      </w:pPr>
      <w:r>
        <w:t xml:space="preserve">Are Paper and Heavy Water now stable, or will they remain drags through year-end?</w:t>
      </w:r>
    </w:p>
    <w:p>
      <w:pPr>
        <w:pStyle w:val="Compact"/>
        <w:numPr>
          <w:ilvl w:val="0"/>
          <w:numId w:val="1020"/>
        </w:numPr>
      </w:pPr>
      <w:r>
        <w:t xml:space="preserve">Did Global High-Tech maintain growth above 20%, and is Ovivo still tracking at a mid-teens rate?</w:t>
      </w:r>
    </w:p>
    <w:p>
      <w:pPr>
        <w:pStyle w:val="Compact"/>
        <w:numPr>
          <w:ilvl w:val="0"/>
          <w:numId w:val="1020"/>
        </w:numPr>
      </w:pPr>
      <w:r>
        <w:t xml:space="preserve">Can Life Sciences sustain double-digit growth as the bioprocessing comparison becomes more demanding?</w:t>
      </w:r>
    </w:p>
    <w:p>
      <w:pPr>
        <w:pStyle w:val="Compact"/>
        <w:numPr>
          <w:ilvl w:val="0"/>
          <w:numId w:val="1020"/>
        </w:numPr>
      </w:pPr>
      <w:r>
        <w:t xml:space="preserve">When will CoolIT close, and has its near-triple-digit Q1 growth continued?</w:t>
      </w:r>
    </w:p>
    <w:p>
      <w:pPr>
        <w:pStyle w:val="Compact"/>
        <w:numPr>
          <w:ilvl w:val="0"/>
          <w:numId w:val="1020"/>
        </w:numPr>
      </w:pPr>
      <w:r>
        <w:t xml:space="preserve">How should investors model interest expense on the $5 billion debt offering before and after closing?</w:t>
      </w:r>
    </w:p>
    <w:p>
      <w:pPr>
        <w:pStyle w:val="Compact"/>
        <w:numPr>
          <w:ilvl w:val="0"/>
          <w:numId w:val="1020"/>
        </w:numPr>
      </w:pPr>
      <w:r>
        <w:t xml:space="preserve">Does the approximately $0.20 quarterly CoolIT dilution estimate incorporate current growth and financing costs?</w:t>
      </w:r>
    </w:p>
    <w:p>
      <w:pPr>
        <w:pStyle w:val="Compact"/>
        <w:numPr>
          <w:ilvl w:val="0"/>
          <w:numId w:val="1020"/>
        </w:numPr>
      </w:pPr>
      <w:r>
        <w:t xml:space="preserve">What leverage and debt-reduction targets should investors use after the acquisition?</w:t>
      </w:r>
    </w:p>
    <w:p>
      <w:pPr>
        <w:pStyle w:val="Compact"/>
        <w:numPr>
          <w:ilvl w:val="0"/>
          <w:numId w:val="1020"/>
        </w:numPr>
      </w:pPr>
      <w:r>
        <w:t xml:space="preserve">Does management still expect approximately 19% adjusted operating margin in 2026 and 20% in 2027?</w:t>
      </w:r>
    </w:p>
    <w:p>
      <w:r>
        <w:pict>
          <v:rect style="width:0;height:1.5pt" o:hralign="center" o:hrstd="t" o:hr="t"/>
        </w:pict>
      </w:r>
    </w:p>
    <w:bookmarkEnd w:id="27"/>
    <w:bookmarkStart w:id="28" w:name="bottom-line"/>
    <w:p>
      <w:pPr>
        <w:pStyle w:val="Heading2"/>
      </w:pPr>
      <w:r>
        <w:t xml:space="preserve">Bottom line</w:t>
      </w:r>
    </w:p>
    <w:p>
      <w:pPr>
        <w:pStyle w:val="FirstParagraph"/>
      </w:pPr>
      <w:r>
        <w:t xml:space="preserve">The central issue is</w:t>
      </w:r>
      <w:r>
        <w:t xml:space="preserve"> </w:t>
      </w:r>
      <w:r>
        <w:rPr>
          <w:b/>
          <w:bCs/>
        </w:rPr>
        <w:t xml:space="preserve">not whether Ecolab precisely hits the midpoint of Q2 EPS guidance</w:t>
      </w:r>
      <w:r>
        <w:t xml:space="preserve">. It is whether the company can demonstrate that the quarter marked the trough in price-cost pressure.</w:t>
      </w:r>
    </w:p>
    <w:p>
      <w:pPr>
        <w:pStyle w:val="BodyText"/>
      </w:pPr>
      <w:r>
        <w:t xml:space="preserve">A credible June exit rate, positive volumes and unchanged second-half targets would keep the long-term compounder thesis intact. The strongest supporting evidence would be sustained momentum in High-Tech and Life Sciences, improving Water profitability and clarity that CoolIT’s strategic upside will outweigh its financing and near-term dilution.</w:t>
      </w:r>
    </w:p>
    <w:p>
      <w:pPr>
        <w:pStyle w:val="BodyText"/>
      </w:pPr>
      <w:r>
        <w:t xml:space="preserve">At roughly 32 times the midpoint of core 2026 guidance, however, the stock needs more than resilience. It needs visible proof that second-half acceleration and the path to a 20% operating margin remain on schedule.</w:t>
      </w:r>
    </w:p>
    <w:bookmarkEnd w:id="28"/>
    <w:bookmarkEnd w:id="2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6">
    <w:abstractNumId w:val="991"/>
  </w:num>
  <w:num w:numId="1017">
    <w:abstractNumId w:val="991"/>
  </w:num>
  <w:num w:numId="1018">
    <w:abstractNumId w:val="991"/>
  </w:num>
  <w:num w:numId="1019">
    <w:abstractNumId w:val="991"/>
  </w:num>
  <w:num w:numId="102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2026-07-28T01:00:21Z</dcterms:created>
  <dcterms:modified xsi:type="dcterms:W3CDTF">2026-07-28T01:00:21Z</dcterms:modified>
</cp:coreProperties>
</file>

<file path=docProps/custom.xml><?xml version="1.0" encoding="utf-8"?>
<Properties xmlns="http://schemas.openxmlformats.org/officeDocument/2006/custom-properties" xmlns:vt="http://schemas.openxmlformats.org/officeDocument/2006/docPropsVTypes"/>
</file>