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ecolab-nyse-ecl--2q26-earnings-preview"/>
    <w:p>
      <w:pPr>
        <w:pStyle w:val="Heading1"/>
      </w:pPr>
      <w:r>
        <w:t xml:space="preserve">Ecolab (NYSE: ECL) — 2Q26 Earnings Preview</w:t>
      </w:r>
    </w:p>
    <w:p>
      <w:pPr>
        <w:pStyle w:val="BlockText"/>
      </w:pPr>
      <w:r>
        <w:rPr>
          <w:b/>
          <w:bCs/>
        </w:rPr>
        <w:t xml:space="preserve">Timing note:</w:t>
      </w:r>
      <w:r>
        <w:t xml:space="preserve"> </w:t>
      </w:r>
      <w:r>
        <w:t xml:space="preserve">July 28, 2026 is</w:t>
      </w:r>
      <w:r>
        <w:t xml:space="preserve"> </w:t>
      </w:r>
      <w:r>
        <w:rPr>
          <w:b/>
          <w:bCs/>
        </w:rPr>
        <w:t xml:space="preserve">today</w:t>
      </w:r>
      <w:r>
        <w:t xml:space="preserve">, not tomorrow. Ecolab is scheduled to release 2Q26 results</w:t>
      </w:r>
      <w:r>
        <w:t xml:space="preserve"> </w:t>
      </w:r>
      <w:r>
        <w:rPr>
          <w:b/>
          <w:bCs/>
        </w:rPr>
        <w:t xml:space="preserve">before market open on Tuesday, July 28</w:t>
      </w:r>
      <w:r>
        <w:t xml:space="preserve">, followed by a</w:t>
      </w:r>
      <w:r>
        <w:t xml:space="preserve"> </w:t>
      </w:r>
      <w:r>
        <w:rPr>
          <w:b/>
          <w:bCs/>
        </w:rPr>
        <w:t xml:space="preserve">1:00 p.m. ET</w:t>
      </w:r>
      <w:r>
        <w:t xml:space="preserve"> </w:t>
      </w:r>
      <w:r>
        <w:t xml:space="preserve">webcast.</w:t>
      </w:r>
    </w:p>
    <w:bookmarkStart w:id="9" w:name="X8400ab9c98f531ef1f169d6be16e6eabbdf15bd"/>
    <w:p>
      <w:pPr>
        <w:pStyle w:val="Heading2"/>
      </w:pPr>
      <w:r>
        <w:t xml:space="preserve">Investment view: this is primarily a price/cost and second-half-inflection report</w:t>
      </w:r>
    </w:p>
    <w:p>
      <w:pPr>
        <w:pStyle w:val="FirstParagraph"/>
      </w:pPr>
      <w:r>
        <w:t xml:space="preserve">Ecolab enters 2Q with strong underlying operating momentum, but management explicitly framed the quarter as a</w:t>
      </w:r>
      <w:r>
        <w:t xml:space="preserve"> </w:t>
      </w:r>
      <w:r>
        <w:rPr>
          <w:b/>
          <w:bCs/>
        </w:rPr>
        <w:t xml:space="preserve">temporary earnings transition period</w:t>
      </w:r>
      <w:r>
        <w:t xml:space="preserve">. The key issue is whether its April energy surcharge and broader pricing actions are catching up to the sharp rise in commodity and logistics costs quickly enough to support the promised second-half acceleration.</w:t>
      </w:r>
    </w:p>
    <w:p>
      <w:pPr>
        <w:pStyle w:val="BodyText"/>
      </w:pPr>
      <w:r>
        <w:t xml:space="preserve">The setup is therefore less about a headline Q2 EPS beat and more about credibility around three items:</w:t>
      </w:r>
    </w:p>
    <w:p>
      <w:pPr>
        <w:pStyle w:val="Compact"/>
        <w:numPr>
          <w:ilvl w:val="0"/>
          <w:numId w:val="1001"/>
        </w:numPr>
      </w:pPr>
      <w:r>
        <w:rPr>
          <w:b/>
          <w:bCs/>
        </w:rPr>
        <w:t xml:space="preserve">Pricing realization versus high-single-digit commodity inflation</w:t>
      </w:r>
    </w:p>
    <w:p>
      <w:pPr>
        <w:pStyle w:val="Compact"/>
        <w:numPr>
          <w:ilvl w:val="0"/>
          <w:numId w:val="1001"/>
        </w:numPr>
      </w:pPr>
      <w:r>
        <w:rPr>
          <w:b/>
          <w:bCs/>
        </w:rPr>
        <w:t xml:space="preserve">Evidence that organic growth can reach the 6%–7% second-half target</w:t>
      </w:r>
    </w:p>
    <w:p>
      <w:pPr>
        <w:pStyle w:val="Compact"/>
        <w:numPr>
          <w:ilvl w:val="0"/>
          <w:numId w:val="1001"/>
        </w:numPr>
      </w:pPr>
      <w:r>
        <w:rPr>
          <w:b/>
          <w:bCs/>
        </w:rPr>
        <w:t xml:space="preserve">Reaffirmation of the 2026 adjusted EPS outlook and the path to ~19% adjusted operating margin</w:t>
      </w:r>
    </w:p>
    <w:p>
      <w:pPr>
        <w:pStyle w:val="FirstParagraph"/>
      </w:pPr>
      <w:r>
        <w:t xml:space="preserve">ECL shares closed at</w:t>
      </w:r>
      <w:r>
        <w:t xml:space="preserve"> </w:t>
      </w:r>
      <w:r>
        <w:rPr>
          <w:b/>
          <w:bCs/>
        </w:rPr>
        <w:t xml:space="preserve">$271.42 on July 27</w:t>
      </w:r>
      <w:r>
        <w:t xml:space="preserve">, roughly flat to modestly higher versus before 1Q earnings but about</w:t>
      </w:r>
      <w:r>
        <w:t xml:space="preserve"> </w:t>
      </w:r>
      <w:r>
        <w:rPr>
          <w:b/>
          <w:bCs/>
        </w:rPr>
        <w:t xml:space="preserve">4.3% below</w:t>
      </w:r>
      <w:r>
        <w:t xml:space="preserve"> </w:t>
      </w:r>
      <w:r>
        <w:t xml:space="preserve">their early-July closing high—suggesting investors are waiting for confirmation that the price/cost transition is progressing as planned.</w:t>
      </w:r>
    </w:p>
    <w:p>
      <w:r>
        <w:pict>
          <v:rect style="width:0;height:1.5pt" o:hralign="center" o:hrstd="t" o:hr="t"/>
        </w:pict>
      </w:r>
    </w:p>
    <w:bookmarkEnd w:id="9"/>
    <w:bookmarkStart w:id="10" w:name="what-ecolab-has-guided-for-2q"/>
    <w:p>
      <w:pPr>
        <w:pStyle w:val="Heading2"/>
      </w:pPr>
      <w:r>
        <w:t xml:space="preserve">What Ecolab has guided for 2Q</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company outlook</w:t>
            </w:r>
          </w:p>
        </w:tc>
        <w:tc>
          <w:tcPr/>
          <w:p>
            <w:pPr>
              <w:pStyle w:val="Compact"/>
              <w:jc w:val="right"/>
            </w:pPr>
            <w:r>
              <w:t xml:space="preserve">2Q25 actual</w:t>
            </w:r>
          </w:p>
        </w:tc>
      </w:tr>
      <w:tr>
        <w:tc>
          <w:tcPr/>
          <w:p>
            <w:pPr>
              <w:pStyle w:val="Compact"/>
            </w:pPr>
            <w:r>
              <w:t xml:space="preserve">Adjusted diluted EPS</w:t>
            </w:r>
          </w:p>
        </w:tc>
        <w:tc>
          <w:tcPr/>
          <w:p>
            <w:pPr>
              <w:pStyle w:val="Compact"/>
              <w:jc w:val="right"/>
            </w:pPr>
            <m:oMath>
              <m:r>
                <m:t>2.02</m:t>
              </m:r>
              <m:r>
                <m:rPr>
                  <m:sty m:val="p"/>
                </m:rPr>
                <m:t>–</m:t>
              </m:r>
            </m:oMath>
            <w:r>
              <w:rPr>
                <w:b/>
                <w:bCs/>
              </w:rPr>
              <w:t xml:space="preserve">2.12</w:t>
            </w:r>
          </w:p>
        </w:tc>
        <w:tc>
          <w:tcPr/>
          <w:p>
            <w:pPr>
              <w:pStyle w:val="Compact"/>
              <w:jc w:val="right"/>
            </w:pPr>
            <w:r>
              <w:t xml:space="preserve">$1.89</w:t>
            </w:r>
          </w:p>
        </w:tc>
      </w:tr>
      <w:tr>
        <w:tc>
          <w:tcPr/>
          <w:p>
            <w:pPr>
              <w:pStyle w:val="Compact"/>
            </w:pPr>
            <w:r>
              <w:t xml:space="preserve">Implied adjusted EPS growth</w:t>
            </w:r>
          </w:p>
        </w:tc>
        <w:tc>
          <w:tcPr/>
          <w:p>
            <w:pPr>
              <w:pStyle w:val="Compact"/>
              <w:jc w:val="right"/>
            </w:pPr>
            <w:r>
              <w:rPr>
                <w:b/>
                <w:bCs/>
              </w:rPr>
              <w:t xml:space="preserve">+7% to +12%</w:t>
            </w:r>
          </w:p>
        </w:tc>
        <w:tc>
          <w:tcPr/>
          <w:p>
            <w:pPr>
              <w:pStyle w:val="Compact"/>
              <w:jc w:val="right"/>
            </w:pPr>
            <w:r>
              <w:t xml:space="preserve">—</w:t>
            </w:r>
          </w:p>
        </w:tc>
      </w:tr>
      <w:tr>
        <w:tc>
          <w:tcPr/>
          <w:p>
            <w:pPr>
              <w:pStyle w:val="Compact"/>
            </w:pPr>
            <w:r>
              <w:t xml:space="preserve">Full-year adjusted EPS</w:t>
            </w:r>
          </w:p>
        </w:tc>
        <w:tc>
          <w:tcPr/>
          <w:p>
            <w:pPr>
              <w:pStyle w:val="Compact"/>
              <w:jc w:val="right"/>
            </w:pPr>
            <m:oMath>
              <m:r>
                <m:t>8.43</m:t>
              </m:r>
              <m:r>
                <m:rPr>
                  <m:sty m:val="p"/>
                </m:rPr>
                <m:t>–</m:t>
              </m:r>
            </m:oMath>
            <w:r>
              <w:rPr>
                <w:b/>
                <w:bCs/>
              </w:rPr>
              <w:t xml:space="preserve">8.63</w:t>
            </w:r>
            <w:r>
              <w:t xml:space="preserve"> </w:t>
            </w:r>
            <w:r>
              <w:rPr>
                <w:i/>
                <w:iCs/>
              </w:rPr>
              <w:t xml:space="preserve">(excluding CoolIT)</w:t>
            </w:r>
          </w:p>
        </w:tc>
        <w:tc>
          <w:tcPr/>
          <w:p>
            <w:pPr>
              <w:pStyle w:val="Compact"/>
              <w:jc w:val="right"/>
            </w:pPr>
            <w:r>
              <w:t xml:space="preserve">$7.53</w:t>
            </w:r>
          </w:p>
        </w:tc>
      </w:tr>
      <w:tr>
        <w:tc>
          <w:tcPr/>
          <w:p>
            <w:pPr>
              <w:pStyle w:val="Compact"/>
            </w:pPr>
            <w:r>
              <w:t xml:space="preserve">Full-year adjusted EPS growth</w:t>
            </w:r>
          </w:p>
        </w:tc>
        <w:tc>
          <w:tcPr/>
          <w:p>
            <w:pPr>
              <w:pStyle w:val="Compact"/>
              <w:jc w:val="right"/>
            </w:pPr>
            <w:r>
              <w:rPr>
                <w:b/>
                <w:bCs/>
              </w:rPr>
              <w:t xml:space="preserve">+12% to +15%</w:t>
            </w:r>
          </w:p>
        </w:tc>
        <w:tc>
          <w:tcPr/>
          <w:p>
            <w:pPr>
              <w:pStyle w:val="Compact"/>
              <w:jc w:val="right"/>
            </w:pPr>
            <w:r>
              <w:t xml:space="preserve">—</w:t>
            </w:r>
          </w:p>
        </w:tc>
      </w:tr>
      <w:tr>
        <w:tc>
          <w:tcPr/>
          <w:p>
            <w:pPr>
              <w:pStyle w:val="Compact"/>
            </w:pPr>
            <w:r>
              <w:t xml:space="preserve">Full-year adjusted operating margin</w:t>
            </w:r>
          </w:p>
        </w:tc>
        <w:tc>
          <w:tcPr/>
          <w:p>
            <w:pPr>
              <w:pStyle w:val="Compact"/>
              <w:jc w:val="right"/>
            </w:pPr>
            <w:r>
              <w:t xml:space="preserve">Approximately</w:t>
            </w:r>
            <w:r>
              <w:t xml:space="preserve"> </w:t>
            </w:r>
            <w:r>
              <w:rPr>
                <w:b/>
                <w:bCs/>
              </w:rPr>
              <w:t xml:space="preserve">19%</w:t>
            </w:r>
          </w:p>
        </w:tc>
        <w:tc>
          <w:tcPr/>
          <w:p>
            <w:pPr>
              <w:pStyle w:val="Compact"/>
              <w:jc w:val="right"/>
            </w:pPr>
            <w:r>
              <w:t xml:space="preserve">—</w:t>
            </w:r>
          </w:p>
        </w:tc>
      </w:tr>
    </w:tbl>
    <w:p>
      <w:pPr>
        <w:pStyle w:val="BodyText"/>
      </w:pPr>
      <w:r>
        <w:t xml:space="preserve">At the midpoint, 2Q guidance implies adjusted EPS of</w:t>
      </w:r>
      <w:r>
        <w:t xml:space="preserve"> </w:t>
      </w:r>
      <w:r>
        <w:rPr>
          <w:b/>
          <w:bCs/>
        </w:rPr>
        <w:t xml:space="preserve">$2.07</w:t>
      </w:r>
      <w:r>
        <w:t xml:space="preserve">, or approximately</w:t>
      </w:r>
      <w:r>
        <w:t xml:space="preserve"> </w:t>
      </w:r>
      <w:r>
        <w:rPr>
          <w:b/>
          <w:bCs/>
        </w:rPr>
        <w:t xml:space="preserve">9.5% growth</w:t>
      </w:r>
      <w:r>
        <w:t xml:space="preserve"> </w:t>
      </w:r>
      <w:r>
        <w:t xml:space="preserve">year over year. That is a deceleration from 1Q’s 13% adjusted EPS growth, but this was anticipated: management said commodity costs would rise at a high-single-digit rate starting in Q2 while surcharge benefits would build progressively through the quarter.</w:t>
      </w:r>
    </w:p>
    <w:p>
      <w:pPr>
        <w:pStyle w:val="BodyText"/>
      </w:pPr>
      <w:r>
        <w:rPr>
          <w:b/>
          <w:bCs/>
        </w:rPr>
        <w:t xml:space="preserve">The critical read-through:</w:t>
      </w:r>
      <w:r>
        <w:t xml:space="preserve"> </w:t>
      </w:r>
      <w:r>
        <w:t xml:space="preserve">Ecolab needs to demonstrate that it is exiting June with pricing sufficient to offset the</w:t>
      </w:r>
      <w:r>
        <w:t xml:space="preserve"> </w:t>
      </w:r>
      <w:r>
        <w:rPr>
          <w:b/>
          <w:bCs/>
        </w:rPr>
        <w:t xml:space="preserve">dollar impact</w:t>
      </w:r>
      <w:r>
        <w:t xml:space="preserve"> </w:t>
      </w:r>
      <w:r>
        <w:t xml:space="preserve">of commodity inflation. Management’s prior expectation was for gross margin to stabilize in the second half, enabling stronger EPS growth in 3Q and 4Q.</w:t>
      </w:r>
    </w:p>
    <w:p>
      <w:r>
        <w:pict>
          <v:rect style="width:0;height:1.5pt" o:hralign="center" o:hrstd="t" o:hr="t"/>
        </w:pict>
      </w:r>
    </w:p>
    <w:bookmarkEnd w:id="10"/>
    <w:bookmarkStart w:id="11" w:name="the-1q-starting-point-was-strong"/>
    <w:p>
      <w:pPr>
        <w:pStyle w:val="Heading2"/>
      </w:pPr>
      <w:r>
        <w:t xml:space="preserve">The 1Q starting point was strong</w:t>
      </w:r>
    </w:p>
    <w:p>
      <w:pPr>
        <w:pStyle w:val="FirstParagraph"/>
      </w:pPr>
      <w:r>
        <w:t xml:space="preserve">Ecolab’s 1Q performance gives it a solid operational base:</w:t>
      </w:r>
    </w:p>
    <w:p>
      <w:pPr>
        <w:pStyle w:val="Compact"/>
        <w:numPr>
          <w:ilvl w:val="0"/>
          <w:numId w:val="1002"/>
        </w:numPr>
      </w:pPr>
      <w:r>
        <w:rPr>
          <w:b/>
          <w:bCs/>
        </w:rPr>
        <w:t xml:space="preserve">Organic sales:</w:t>
      </w:r>
      <w:r>
        <w:t xml:space="preserve"> </w:t>
      </w:r>
      <w:r>
        <w:t xml:space="preserve">+4%, consisting of 3% value pricing and 1% volume growth.</w:t>
      </w:r>
    </w:p>
    <w:p>
      <w:pPr>
        <w:pStyle w:val="Compact"/>
        <w:numPr>
          <w:ilvl w:val="0"/>
          <w:numId w:val="1002"/>
        </w:numPr>
      </w:pPr>
      <w:r>
        <w:rPr>
          <w:b/>
          <w:bCs/>
        </w:rPr>
        <w:t xml:space="preserve">Adjusted EPS:</w:t>
      </w:r>
      <w:r>
        <w:t xml:space="preserve"> </w:t>
      </w:r>
      <w:r>
        <w:t xml:space="preserve">$1.70, up 13%.</w:t>
      </w:r>
    </w:p>
    <w:p>
      <w:pPr>
        <w:pStyle w:val="Compact"/>
        <w:numPr>
          <w:ilvl w:val="0"/>
          <w:numId w:val="1002"/>
        </w:numPr>
      </w:pPr>
      <w:r>
        <w:rPr>
          <w:b/>
          <w:bCs/>
        </w:rPr>
        <w:t xml:space="preserve">Organic operating-income margin:</w:t>
      </w:r>
      <w:r>
        <w:t xml:space="preserve"> </w:t>
      </w:r>
      <w:r>
        <w:t xml:space="preserve">16.8%, up 70 basis points.</w:t>
      </w:r>
    </w:p>
    <w:p>
      <w:pPr>
        <w:pStyle w:val="Compact"/>
        <w:numPr>
          <w:ilvl w:val="0"/>
          <w:numId w:val="1002"/>
        </w:numPr>
      </w:pPr>
      <w:r>
        <w:rPr>
          <w:b/>
          <w:bCs/>
        </w:rPr>
        <w:t xml:space="preserve">Adjusted operating-income margin:</w:t>
      </w:r>
      <w:r>
        <w:t xml:space="preserve"> </w:t>
      </w:r>
      <w:r>
        <w:t xml:space="preserve">16.7%, up 70 basis points.</w:t>
      </w:r>
    </w:p>
    <w:p>
      <w:pPr>
        <w:pStyle w:val="Compact"/>
        <w:numPr>
          <w:ilvl w:val="0"/>
          <w:numId w:val="1002"/>
        </w:numPr>
      </w:pPr>
      <w:r>
        <w:rPr>
          <w:b/>
          <w:bCs/>
        </w:rPr>
        <w:t xml:space="preserve">Reported sales:</w:t>
      </w:r>
      <w:r>
        <w:t xml:space="preserve"> </w:t>
      </w:r>
      <w:r>
        <w:t xml:space="preserve">$4.07 billion, up 10%, including the Ovivo Electronics acquisition and currency.</w:t>
      </w:r>
    </w:p>
    <w:p>
      <w:pPr>
        <w:pStyle w:val="FirstParagraph"/>
      </w:pPr>
      <w:r>
        <w:t xml:space="preserve">The more encouraging element was the quality of growth. Ecolab’s higher-growth businesses continued to outpace the company, while its core portfolio generally improved and its weaker Paper and Heavy Water businesses appeared to stabilize.</w:t>
      </w:r>
    </w:p>
    <w:p>
      <w:r>
        <w:pict>
          <v:rect style="width:0;height:1.5pt" o:hralign="center" o:hrstd="t" o:hr="t"/>
        </w:pict>
      </w:r>
    </w:p>
    <w:bookmarkEnd w:id="11"/>
    <w:bookmarkStart w:id="17" w:name="the-most-important-items-to-watch"/>
    <w:p>
      <w:pPr>
        <w:pStyle w:val="Heading2"/>
      </w:pPr>
      <w:r>
        <w:t xml:space="preserve">The most important items to watch</w:t>
      </w:r>
    </w:p>
    <w:bookmarkStart w:id="12" w:name="Xc9ca7a201970a74a922ab227298cc2076aa81c6"/>
    <w:p>
      <w:pPr>
        <w:pStyle w:val="Heading3"/>
      </w:pPr>
      <w:r>
        <w:t xml:space="preserve">1. Energy surcharge execution and price/cost recovery</w:t>
      </w:r>
    </w:p>
    <w:p>
      <w:pPr>
        <w:pStyle w:val="FirstParagraph"/>
      </w:pPr>
      <w:r>
        <w:t xml:space="preserve">This is the central swing factor for the stock.</w:t>
      </w:r>
    </w:p>
    <w:p>
      <w:pPr>
        <w:pStyle w:val="BodyText"/>
      </w:pPr>
      <w:r>
        <w:t xml:space="preserve">Management initiated a global energy surcharge on April 1 across its customer base to address higher energy-linked raw materials and logistics costs. In 1Q commentary, management expected:</w:t>
      </w:r>
    </w:p>
    <w:p>
      <w:pPr>
        <w:pStyle w:val="Compact"/>
        <w:numPr>
          <w:ilvl w:val="0"/>
          <w:numId w:val="1003"/>
        </w:numPr>
      </w:pPr>
      <w:r>
        <w:t xml:space="preserve">High-single-digit commodity-cost inflation in 2Q;</w:t>
      </w:r>
    </w:p>
    <w:p>
      <w:pPr>
        <w:pStyle w:val="Compact"/>
        <w:numPr>
          <w:ilvl w:val="0"/>
          <w:numId w:val="1003"/>
        </w:numPr>
      </w:pPr>
      <w:r>
        <w:t xml:space="preserve">Surcharge realization to build throughout the quarter;</w:t>
      </w:r>
    </w:p>
    <w:p>
      <w:pPr>
        <w:pStyle w:val="Compact"/>
        <w:numPr>
          <w:ilvl w:val="0"/>
          <w:numId w:val="1003"/>
        </w:numPr>
      </w:pPr>
      <w:r>
        <w:t xml:space="preserve">Pricing to fully offset the</w:t>
      </w:r>
      <w:r>
        <w:t xml:space="preserve"> </w:t>
      </w:r>
      <w:r>
        <w:rPr>
          <w:b/>
          <w:bCs/>
        </w:rPr>
        <w:t xml:space="preserve">dollar</w:t>
      </w:r>
      <w:r>
        <w:t xml:space="preserve"> </w:t>
      </w:r>
      <w:r>
        <w:t xml:space="preserve">impact of elevated commodity costs by the end of 2Q;</w:t>
      </w:r>
    </w:p>
    <w:p>
      <w:pPr>
        <w:pStyle w:val="Compact"/>
        <w:numPr>
          <w:ilvl w:val="0"/>
          <w:numId w:val="1003"/>
        </w:numPr>
      </w:pPr>
      <w:r>
        <w:t xml:space="preserve">Gross margin stabilization in the second half.</w:t>
      </w:r>
    </w:p>
    <w:p>
      <w:pPr>
        <w:pStyle w:val="FirstParagraph"/>
      </w:pPr>
      <w:r>
        <w:t xml:space="preserve">The report needs to answer:</w:t>
      </w:r>
    </w:p>
    <w:p>
      <w:pPr>
        <w:pStyle w:val="Compact"/>
        <w:numPr>
          <w:ilvl w:val="0"/>
          <w:numId w:val="1004"/>
        </w:numPr>
      </w:pPr>
      <w:r>
        <w:t xml:space="preserve">Has pricing accelerated as planned?</w:t>
      </w:r>
    </w:p>
    <w:p>
      <w:pPr>
        <w:pStyle w:val="Compact"/>
        <w:numPr>
          <w:ilvl w:val="0"/>
          <w:numId w:val="1004"/>
        </w:numPr>
      </w:pPr>
      <w:r>
        <w:t xml:space="preserve">Is the surcharge being accepted broadly, without customer attrition or volume disruption?</w:t>
      </w:r>
    </w:p>
    <w:p>
      <w:pPr>
        <w:pStyle w:val="Compact"/>
        <w:numPr>
          <w:ilvl w:val="0"/>
          <w:numId w:val="1004"/>
        </w:numPr>
      </w:pPr>
      <w:r>
        <w:t xml:space="preserve">Did commodity inflation remain high-single digit, or worsen?</w:t>
      </w:r>
    </w:p>
    <w:p>
      <w:pPr>
        <w:pStyle w:val="Compact"/>
        <w:numPr>
          <w:ilvl w:val="0"/>
          <w:numId w:val="1004"/>
        </w:numPr>
      </w:pPr>
      <w:r>
        <w:t xml:space="preserve">Is management still confident in second-half gross-margin stabilization?</w:t>
      </w:r>
    </w:p>
    <w:p>
      <w:pPr>
        <w:pStyle w:val="FirstParagraph"/>
      </w:pPr>
      <w:r>
        <w:t xml:space="preserve">A clean confirmation of these points would validate the full-year framework. Any slippage would matter disproportionately because the investment case currently assumes a strong back-half recovery.</w:t>
      </w:r>
    </w:p>
    <w:bookmarkEnd w:id="12"/>
    <w:bookmarkStart w:id="13" w:name="Xc0926af9a6765fb8128aebaeead831267d73085"/>
    <w:p>
      <w:pPr>
        <w:pStyle w:val="Heading3"/>
      </w:pPr>
      <w:r>
        <w:t xml:space="preserve">2. Organic-growth trajectory: volumes must hold while pricing increases</w:t>
      </w:r>
    </w:p>
    <w:p>
      <w:pPr>
        <w:pStyle w:val="FirstParagraph"/>
      </w:pPr>
      <w:r>
        <w:t xml:space="preserve">Management’s second-half organic-sales target is</w:t>
      </w:r>
      <w:r>
        <w:t xml:space="preserve"> </w:t>
      </w:r>
      <w:r>
        <w:rPr>
          <w:b/>
          <w:bCs/>
        </w:rPr>
        <w:t xml:space="preserve">6%–7%</w:t>
      </w:r>
      <w:r>
        <w:t xml:space="preserve">, supported by pricing in the 5%–6% range and roughly 1% volume growth. Q2 should provide an early indication that this bridge is realistic.</w:t>
      </w:r>
    </w:p>
    <w:p>
      <w:pPr>
        <w:pStyle w:val="BodyText"/>
      </w:pPr>
      <w:r>
        <w:t xml:space="preserve">Investors should focus on:</w:t>
      </w:r>
    </w:p>
    <w:p>
      <w:pPr>
        <w:pStyle w:val="Compact"/>
        <w:numPr>
          <w:ilvl w:val="0"/>
          <w:numId w:val="1005"/>
        </w:numPr>
      </w:pPr>
      <w:r>
        <w:rPr>
          <w:b/>
          <w:bCs/>
        </w:rPr>
        <w:t xml:space="preserve">Volume growth</w:t>
      </w:r>
      <w:r>
        <w:t xml:space="preserve">, especially whether the 1Q acceleration is sustained;</w:t>
      </w:r>
    </w:p>
    <w:p>
      <w:pPr>
        <w:pStyle w:val="Compact"/>
        <w:numPr>
          <w:ilvl w:val="0"/>
          <w:numId w:val="1005"/>
        </w:numPr>
      </w:pPr>
      <w:r>
        <w:t xml:space="preserve">Whether price gains are mainly surcharge-driven or reflect durable structural pricing;</w:t>
      </w:r>
    </w:p>
    <w:p>
      <w:pPr>
        <w:pStyle w:val="Compact"/>
        <w:numPr>
          <w:ilvl w:val="0"/>
          <w:numId w:val="1005"/>
        </w:numPr>
      </w:pPr>
      <w:r>
        <w:t xml:space="preserve">New-business wins and retention;</w:t>
      </w:r>
    </w:p>
    <w:p>
      <w:pPr>
        <w:pStyle w:val="Compact"/>
        <w:numPr>
          <w:ilvl w:val="0"/>
          <w:numId w:val="1005"/>
        </w:numPr>
      </w:pPr>
      <w:r>
        <w:t xml:space="preserve">Customer behavior amid higher energy and operating costs.</w:t>
      </w:r>
    </w:p>
    <w:p>
      <w:pPr>
        <w:pStyle w:val="FirstParagraph"/>
      </w:pPr>
      <w:r>
        <w:t xml:space="preserve">Ecolab’s model benefits from mission-critical products and services, but the company still needs to prove it can raise price while protecting volumes and customer relationships.</w:t>
      </w:r>
    </w:p>
    <w:bookmarkEnd w:id="13"/>
    <w:bookmarkStart w:id="14" w:name="Xfab04652de2a8aa7064ceeec4b6e5a410768d1c"/>
    <w:p>
      <w:pPr>
        <w:pStyle w:val="Heading3"/>
      </w:pPr>
      <w:r>
        <w:t xml:space="preserve">3. Global Water: growth engines versus legacy drag</w:t>
      </w:r>
    </w:p>
    <w:p>
      <w:pPr>
        <w:pStyle w:val="FirstParagraph"/>
      </w:pPr>
      <w:r>
        <w:t xml:space="preserve">Global Water is Ecolab’s largest segment and the most strategically important one. In 1Q:</w:t>
      </w:r>
    </w:p>
    <w:p>
      <w:pPr>
        <w:pStyle w:val="Compact"/>
        <w:numPr>
          <w:ilvl w:val="0"/>
          <w:numId w:val="1006"/>
        </w:numPr>
      </w:pPr>
      <w:r>
        <w:t xml:space="preserve">Organic sales grew</w:t>
      </w:r>
      <w:r>
        <w:t xml:space="preserve"> </w:t>
      </w:r>
      <w:r>
        <w:rPr>
          <w:b/>
          <w:bCs/>
        </w:rPr>
        <w:t xml:space="preserve">2%</w:t>
      </w:r>
      <w:r>
        <w:t xml:space="preserve">, held back by Paper and Heavy Water;</w:t>
      </w:r>
    </w:p>
    <w:p>
      <w:pPr>
        <w:pStyle w:val="Compact"/>
        <w:numPr>
          <w:ilvl w:val="0"/>
          <w:numId w:val="1006"/>
        </w:numPr>
      </w:pPr>
      <w:r>
        <w:t xml:space="preserve">Global High-Tech grew</w:t>
      </w:r>
      <w:r>
        <w:t xml:space="preserve"> </w:t>
      </w:r>
      <w:r>
        <w:rPr>
          <w:b/>
          <w:bCs/>
        </w:rPr>
        <w:t xml:space="preserve">more than 20%</w:t>
      </w:r>
      <w:r>
        <w:t xml:space="preserve"> </w:t>
      </w:r>
      <w:r>
        <w:t xml:space="preserve">organically;</w:t>
      </w:r>
    </w:p>
    <w:p>
      <w:pPr>
        <w:pStyle w:val="Compact"/>
        <w:numPr>
          <w:ilvl w:val="0"/>
          <w:numId w:val="1006"/>
        </w:numPr>
      </w:pPr>
      <w:r>
        <w:t xml:space="preserve">Food &amp; Beverage grew mid-single digits;</w:t>
      </w:r>
    </w:p>
    <w:p>
      <w:pPr>
        <w:pStyle w:val="Compact"/>
        <w:numPr>
          <w:ilvl w:val="0"/>
          <w:numId w:val="1006"/>
        </w:numPr>
      </w:pPr>
      <w:r>
        <w:t xml:space="preserve">Organic operating income was flat, pressured by commodity costs and growth investment.</w:t>
      </w:r>
    </w:p>
    <w:p>
      <w:pPr>
        <w:pStyle w:val="FirstParagraph"/>
      </w:pPr>
      <w:r>
        <w:t xml:space="preserve">The major debate is whether the high-tech portfolio is becoming large enough to offset legacy pressures meaningfully.</w:t>
      </w:r>
    </w:p>
    <w:p>
      <w:pPr>
        <w:pStyle w:val="BodyText"/>
      </w:pPr>
      <w:r>
        <w:t xml:space="preserve">Key indicators:</w:t>
      </w:r>
    </w:p>
    <w:p>
      <w:pPr>
        <w:pStyle w:val="Compact"/>
        <w:numPr>
          <w:ilvl w:val="0"/>
          <w:numId w:val="1007"/>
        </w:numPr>
      </w:pPr>
      <w:r>
        <w:rPr>
          <w:b/>
          <w:bCs/>
        </w:rPr>
        <w:t xml:space="preserve">Global High-Tech growth</w:t>
      </w:r>
      <w:r>
        <w:t xml:space="preserve"> </w:t>
      </w:r>
      <w:r>
        <w:t xml:space="preserve">in microelectronics and data centers;</w:t>
      </w:r>
    </w:p>
    <w:p>
      <w:pPr>
        <w:pStyle w:val="Compact"/>
        <w:numPr>
          <w:ilvl w:val="0"/>
          <w:numId w:val="1007"/>
        </w:numPr>
      </w:pPr>
      <w:r>
        <w:t xml:space="preserve">Ovivo Electronics revenue contribution, backlog, and margin trajectory;</w:t>
      </w:r>
    </w:p>
    <w:p>
      <w:pPr>
        <w:pStyle w:val="Compact"/>
        <w:numPr>
          <w:ilvl w:val="0"/>
          <w:numId w:val="1007"/>
        </w:numPr>
      </w:pPr>
      <w:r>
        <w:t xml:space="preserve">Whether Paper and Heavy Water move from “stabilizing” toward positive growth;</w:t>
      </w:r>
    </w:p>
    <w:p>
      <w:pPr>
        <w:pStyle w:val="Compact"/>
        <w:numPr>
          <w:ilvl w:val="0"/>
          <w:numId w:val="1007"/>
        </w:numPr>
      </w:pPr>
      <w:r>
        <w:t xml:space="preserve">Global Water margin progression, particularly excluding acquisition-related mix effects.</w:t>
      </w:r>
    </w:p>
    <w:bookmarkEnd w:id="14"/>
    <w:bookmarkStart w:id="15" w:name="Xe841ed60d89e9a6f0573ea4cd36001e7c65d3e7"/>
    <w:p>
      <w:pPr>
        <w:pStyle w:val="Heading3"/>
      </w:pPr>
      <w:r>
        <w:t xml:space="preserve">4. Life Sciences: can the new growth engine sustain double-digit growth?</w:t>
      </w:r>
    </w:p>
    <w:p>
      <w:pPr>
        <w:pStyle w:val="FirstParagraph"/>
      </w:pPr>
      <w:r>
        <w:t xml:space="preserve">Life Sciences is small relative to Global Water and Institutional &amp; Specialty, but it may be Ecolab’s most attractive internal growth opportunity.</w:t>
      </w:r>
    </w:p>
    <w:p>
      <w:pPr>
        <w:pStyle w:val="BodyText"/>
      </w:pPr>
      <w:r>
        <w:t xml:space="preserve">In 1Q, the business delivered:</w:t>
      </w:r>
    </w:p>
    <w:p>
      <w:pPr>
        <w:pStyle w:val="Compact"/>
        <w:numPr>
          <w:ilvl w:val="0"/>
          <w:numId w:val="1008"/>
        </w:numPr>
      </w:pPr>
      <w:r>
        <w:rPr>
          <w:b/>
          <w:bCs/>
        </w:rPr>
        <w:t xml:space="preserve">11% organic sales growth</w:t>
      </w:r>
      <w:r>
        <w:t xml:space="preserve">;</w:t>
      </w:r>
    </w:p>
    <w:p>
      <w:pPr>
        <w:pStyle w:val="Compact"/>
        <w:numPr>
          <w:ilvl w:val="0"/>
          <w:numId w:val="1008"/>
        </w:numPr>
      </w:pPr>
      <w:r>
        <w:rPr>
          <w:b/>
          <w:bCs/>
        </w:rPr>
        <w:t xml:space="preserve">21% organic operating-income growth</w:t>
      </w:r>
      <w:r>
        <w:t xml:space="preserve">;</w:t>
      </w:r>
    </w:p>
    <w:p>
      <w:pPr>
        <w:pStyle w:val="Compact"/>
        <w:numPr>
          <w:ilvl w:val="0"/>
          <w:numId w:val="1008"/>
        </w:numPr>
      </w:pPr>
      <w:r>
        <w:rPr>
          <w:b/>
          <w:bCs/>
        </w:rPr>
        <w:t xml:space="preserve">18.7% operating margin</w:t>
      </w:r>
      <w:r>
        <w:t xml:space="preserve">;</w:t>
      </w:r>
    </w:p>
    <w:p>
      <w:pPr>
        <w:pStyle w:val="Compact"/>
        <w:numPr>
          <w:ilvl w:val="0"/>
          <w:numId w:val="1008"/>
        </w:numPr>
      </w:pPr>
      <w:r>
        <w:t xml:space="preserve">Bioprocessing sales that more than doubled.</w:t>
      </w:r>
    </w:p>
    <w:p>
      <w:pPr>
        <w:pStyle w:val="FirstParagraph"/>
      </w:pPr>
      <w:r>
        <w:t xml:space="preserve">Management has positioned Life Sciences as a double-digit organic growth business with a longer-term operating-margin target around 30%, although near-term investment and capacity expansion will limit margin realization.</w:t>
      </w:r>
    </w:p>
    <w:p>
      <w:pPr>
        <w:pStyle w:val="BodyText"/>
      </w:pPr>
      <w:r>
        <w:t xml:space="preserve">For 2Q, investors should look for confirmation that:</w:t>
      </w:r>
    </w:p>
    <w:p>
      <w:pPr>
        <w:pStyle w:val="Compact"/>
        <w:numPr>
          <w:ilvl w:val="0"/>
          <w:numId w:val="1009"/>
        </w:numPr>
      </w:pPr>
      <w:r>
        <w:t xml:space="preserve">Bioprocessing demand remains strong;</w:t>
      </w:r>
    </w:p>
    <w:p>
      <w:pPr>
        <w:pStyle w:val="Compact"/>
        <w:numPr>
          <w:ilvl w:val="0"/>
          <w:numId w:val="1009"/>
        </w:numPr>
      </w:pPr>
      <w:r>
        <w:t xml:space="preserve">Capacity constraints in industrial water purification are easing or manageable;</w:t>
      </w:r>
    </w:p>
    <w:p>
      <w:pPr>
        <w:pStyle w:val="Compact"/>
        <w:numPr>
          <w:ilvl w:val="0"/>
          <w:numId w:val="1009"/>
        </w:numPr>
      </w:pPr>
      <w:r>
        <w:t xml:space="preserve">Growth investment remains disciplined;</w:t>
      </w:r>
    </w:p>
    <w:p>
      <w:pPr>
        <w:pStyle w:val="Compact"/>
        <w:numPr>
          <w:ilvl w:val="0"/>
          <w:numId w:val="1009"/>
        </w:numPr>
      </w:pPr>
      <w:r>
        <w:t xml:space="preserve">The planned capacity expansion supports a durable multi-year growth runway rather than a short-lived surge.</w:t>
      </w:r>
    </w:p>
    <w:bookmarkEnd w:id="15"/>
    <w:bookmarkStart w:id="16" w:name="Xb263f861533312bacdb99a4aac0b02f4873691c"/>
    <w:p>
      <w:pPr>
        <w:pStyle w:val="Heading3"/>
      </w:pPr>
      <w:r>
        <w:t xml:space="preserve">5. Institutional &amp; Specialty and Pest: the earnings-quality anchor</w:t>
      </w:r>
    </w:p>
    <w:p>
      <w:pPr>
        <w:pStyle w:val="FirstParagraph"/>
      </w:pPr>
      <w:r>
        <w:t xml:space="preserve">These businesses are important because they combine resilient end markets with high margins.</w:t>
      </w:r>
    </w:p>
    <w:p>
      <w:pPr>
        <w:pStyle w:val="BodyText"/>
      </w:pPr>
      <w:r>
        <w:rPr>
          <w:b/>
          <w:bCs/>
        </w:rPr>
        <w:t xml:space="preserve">Global Institutional &amp; Specialty</w:t>
      </w:r>
      <w:r>
        <w:t xml:space="preserve"> </w:t>
      </w:r>
      <w:r>
        <w:t xml:space="preserve">posted 1Q organic sales growth of 4% and organic operating-income growth of 13%, lifting segment margin to 23.0%. Specialty grew at a high-single-digit rate, aided by new business and value pricing.</w:t>
      </w:r>
    </w:p>
    <w:p>
      <w:pPr>
        <w:pStyle w:val="BodyText"/>
      </w:pPr>
      <w:r>
        <w:rPr>
          <w:b/>
          <w:bCs/>
        </w:rPr>
        <w:t xml:space="preserve">Pest Elimination</w:t>
      </w:r>
      <w:r>
        <w:t xml:space="preserve"> </w:t>
      </w:r>
      <w:r>
        <w:t xml:space="preserve">generated 7% organic growth and 10% organic operating-income growth in 1Q. The rollout of connected “Pest Intelligence” devices remains a longer-term margin and retention opportunity.</w:t>
      </w:r>
    </w:p>
    <w:p>
      <w:pPr>
        <w:pStyle w:val="BodyText"/>
      </w:pPr>
      <w:r>
        <w:t xml:space="preserve">A repeat of this type of performance would reinforce the argument that Ecolab’s margin model is broad-based—not just dependent on price increases in Water.</w:t>
      </w:r>
    </w:p>
    <w:p>
      <w:r>
        <w:pict>
          <v:rect style="width:0;height:1.5pt" o:hralign="center" o:hrstd="t" o:hr="t"/>
        </w:pict>
      </w:r>
    </w:p>
    <w:bookmarkEnd w:id="16"/>
    <w:bookmarkEnd w:id="17"/>
    <w:bookmarkStart w:id="18" w:name="X4fb0a5ee3252e42f939ed8c4eb8f64d0dcefeec"/>
    <w:p>
      <w:pPr>
        <w:pStyle w:val="Heading2"/>
      </w:pPr>
      <w:r>
        <w:t xml:space="preserve">CoolIT: strategically attractive, near-term EPS dilution remains an overhang</w:t>
      </w:r>
    </w:p>
    <w:p>
      <w:pPr>
        <w:pStyle w:val="FirstParagraph"/>
      </w:pPr>
      <w:r>
        <w:t xml:space="preserve">The pending CoolIT Systems acquisition is strategically central to the high-tech narrative. Combined with Ovivo Electronics and Ecolab’s legacy water platform, management sees a roughly</w:t>
      </w:r>
      <w:r>
        <w:t xml:space="preserve"> </w:t>
      </w:r>
      <w:r>
        <w:rPr>
          <w:b/>
          <w:bCs/>
        </w:rPr>
        <w:t xml:space="preserve">$1.5 billion</w:t>
      </w:r>
      <w:r>
        <w:t xml:space="preserve"> </w:t>
      </w:r>
      <w:r>
        <w:t xml:space="preserve">Global High-Tech opportunity spanning microelectronics, data-center water management, and direct-to-chip liquid cooling.</w:t>
      </w:r>
    </w:p>
    <w:p>
      <w:pPr>
        <w:pStyle w:val="BodyText"/>
      </w:pPr>
      <w:r>
        <w:t xml:space="preserve">The positives:</w:t>
      </w:r>
    </w:p>
    <w:p>
      <w:pPr>
        <w:pStyle w:val="Compact"/>
        <w:numPr>
          <w:ilvl w:val="0"/>
          <w:numId w:val="1010"/>
        </w:numPr>
      </w:pPr>
      <w:r>
        <w:t xml:space="preserve">CoolIT reportedly began 2026 with growth substantially above the original 30%-plus expectation;</w:t>
      </w:r>
    </w:p>
    <w:p>
      <w:pPr>
        <w:pStyle w:val="Compact"/>
        <w:numPr>
          <w:ilvl w:val="0"/>
          <w:numId w:val="1010"/>
        </w:numPr>
      </w:pPr>
      <w:r>
        <w:t xml:space="preserve">The acquisition deepens Ecolab’s data-center exposure;</w:t>
      </w:r>
    </w:p>
    <w:p>
      <w:pPr>
        <w:pStyle w:val="Compact"/>
        <w:numPr>
          <w:ilvl w:val="0"/>
          <w:numId w:val="1010"/>
        </w:numPr>
      </w:pPr>
      <w:r>
        <w:t xml:space="preserve">Management sees recurring revenue opportunities in cooling systems, coolant, service, monitoring, and technology refresh cycles.</w:t>
      </w:r>
    </w:p>
    <w:p>
      <w:pPr>
        <w:pStyle w:val="FirstParagraph"/>
      </w:pPr>
      <w:r>
        <w:t xml:space="preserve">The financial complication is near-term dilution. At 1Q, Ecolab said CoolIT financing and noncash amortization were expected to reduce adjusted EPS by approximately</w:t>
      </w:r>
      <w:r>
        <w:t xml:space="preserve"> </w:t>
      </w:r>
      <w:r>
        <w:rPr>
          <w:b/>
          <w:bCs/>
        </w:rPr>
        <w:t xml:space="preserve">$0.20 per quarter</w:t>
      </w:r>
      <w:r>
        <w:t xml:space="preserve"> </w:t>
      </w:r>
      <w:r>
        <w:t xml:space="preserve">after closing during the second half of 2026, though management expected the impact to become neutral in 2027 as Nalco-related amortization rolls off.</w:t>
      </w:r>
    </w:p>
    <w:p>
      <w:pPr>
        <w:pStyle w:val="BodyText"/>
      </w:pPr>
      <w:r>
        <w:rPr>
          <w:b/>
          <w:bCs/>
        </w:rPr>
        <w:t xml:space="preserve">What investors need on the call:</w:t>
      </w:r>
      <w:r>
        <w:t xml:space="preserve"> </w:t>
      </w:r>
      <w:r>
        <w:t xml:space="preserve">confirmation of regulatory/closing timing, updated growth expectations, financing assumptions, and whether the previously described dilution remains the right placeholder.</w:t>
      </w:r>
    </w:p>
    <w:p>
      <w:r>
        <w:pict>
          <v:rect style="width:0;height:1.5pt" o:hralign="center" o:hrstd="t" o:hr="t"/>
        </w:pict>
      </w:r>
    </w:p>
    <w:bookmarkEnd w:id="18"/>
    <w:bookmarkStart w:id="19" w:name="what-could-drive-a-positive-reaction"/>
    <w:p>
      <w:pPr>
        <w:pStyle w:val="Heading2"/>
      </w:pPr>
      <w:r>
        <w:t xml:space="preserve">What could drive a positive reaction</w:t>
      </w:r>
    </w:p>
    <w:p>
      <w:pPr>
        <w:pStyle w:val="FirstParagraph"/>
      </w:pPr>
      <w:r>
        <w:t xml:space="preserve">A constructive result would likely include:</w:t>
      </w:r>
    </w:p>
    <w:p>
      <w:pPr>
        <w:pStyle w:val="Compact"/>
        <w:numPr>
          <w:ilvl w:val="0"/>
          <w:numId w:val="1011"/>
        </w:numPr>
      </w:pPr>
      <w:r>
        <w:t xml:space="preserve">Adjusted EPS toward the upper half of the</w:t>
      </w:r>
      <w:r>
        <w:t xml:space="preserve"> </w:t>
      </w:r>
      <m:oMath>
        <m:r>
          <m:t>2.02</m:t>
        </m:r>
        <m:r>
          <m:rPr>
            <m:sty m:val="p"/>
          </m:rPr>
          <m:t>–</m:t>
        </m:r>
      </m:oMath>
      <w:r>
        <w:t xml:space="preserve">2.12 guide;</w:t>
      </w:r>
    </w:p>
    <w:p>
      <w:pPr>
        <w:pStyle w:val="Compact"/>
        <w:numPr>
          <w:ilvl w:val="0"/>
          <w:numId w:val="1011"/>
        </w:numPr>
      </w:pPr>
      <w:r>
        <w:t xml:space="preserve">Clear evidence that energy-surcharge collection is tracking to plan;</w:t>
      </w:r>
    </w:p>
    <w:p>
      <w:pPr>
        <w:pStyle w:val="Compact"/>
        <w:numPr>
          <w:ilvl w:val="0"/>
          <w:numId w:val="1011"/>
        </w:numPr>
      </w:pPr>
      <w:r>
        <w:t xml:space="preserve">Reaffirmed full-year EPS guidance of</w:t>
      </w:r>
      <w:r>
        <w:t xml:space="preserve"> </w:t>
      </w:r>
      <m:oMath>
        <m:r>
          <m:t>8.43</m:t>
        </m:r>
        <m:r>
          <m:rPr>
            <m:sty m:val="p"/>
          </m:rPr>
          <m:t>–</m:t>
        </m:r>
      </m:oMath>
      <w:r>
        <w:t xml:space="preserve">8.63, excluding CoolIT;</w:t>
      </w:r>
    </w:p>
    <w:p>
      <w:pPr>
        <w:pStyle w:val="Compact"/>
        <w:numPr>
          <w:ilvl w:val="0"/>
          <w:numId w:val="1011"/>
        </w:numPr>
      </w:pPr>
      <w:r>
        <w:t xml:space="preserve">Confidence that gross margin stabilizes in the second half;</w:t>
      </w:r>
    </w:p>
    <w:p>
      <w:pPr>
        <w:pStyle w:val="Compact"/>
        <w:numPr>
          <w:ilvl w:val="0"/>
          <w:numId w:val="1011"/>
        </w:numPr>
      </w:pPr>
      <w:r>
        <w:t xml:space="preserve">Organic growth moving higher from 1Q’s 4% rate;</w:t>
      </w:r>
    </w:p>
    <w:p>
      <w:pPr>
        <w:pStyle w:val="Compact"/>
        <w:numPr>
          <w:ilvl w:val="0"/>
          <w:numId w:val="1011"/>
        </w:numPr>
      </w:pPr>
      <w:r>
        <w:t xml:space="preserve">Sustained 20%-plus Global High-Tech growth and double-digit Life Sciences growth;</w:t>
      </w:r>
    </w:p>
    <w:p>
      <w:pPr>
        <w:pStyle w:val="Compact"/>
        <w:numPr>
          <w:ilvl w:val="0"/>
          <w:numId w:val="1011"/>
        </w:numPr>
      </w:pPr>
      <w:r>
        <w:t xml:space="preserve">Improving trends in Paper and Heavy Water;</w:t>
      </w:r>
    </w:p>
    <w:p>
      <w:pPr>
        <w:pStyle w:val="Compact"/>
        <w:numPr>
          <w:ilvl w:val="0"/>
          <w:numId w:val="1011"/>
        </w:numPr>
      </w:pPr>
      <w:r>
        <w:t xml:space="preserve">No adverse change in CoolIT’s expected close date or annualized dilution.</w:t>
      </w:r>
    </w:p>
    <w:bookmarkEnd w:id="19"/>
    <w:bookmarkStart w:id="20" w:name="what-could-disappoint"/>
    <w:p>
      <w:pPr>
        <w:pStyle w:val="Heading2"/>
      </w:pPr>
      <w:r>
        <w:t xml:space="preserve">What could disappoint</w:t>
      </w:r>
    </w:p>
    <w:p>
      <w:pPr>
        <w:pStyle w:val="FirstParagraph"/>
      </w:pPr>
      <w:r>
        <w:t xml:space="preserve">The bearish setup would be:</w:t>
      </w:r>
    </w:p>
    <w:p>
      <w:pPr>
        <w:pStyle w:val="Compact"/>
        <w:numPr>
          <w:ilvl w:val="0"/>
          <w:numId w:val="1012"/>
        </w:numPr>
      </w:pPr>
      <w:r>
        <w:t xml:space="preserve">Commodity, freight, or energy inflation exceeding the high-single-digit planning case;</w:t>
      </w:r>
    </w:p>
    <w:p>
      <w:pPr>
        <w:pStyle w:val="Compact"/>
        <w:numPr>
          <w:ilvl w:val="0"/>
          <w:numId w:val="1012"/>
        </w:numPr>
      </w:pPr>
      <w:r>
        <w:t xml:space="preserve">Pricing realization falling behind cost inflation;</w:t>
      </w:r>
    </w:p>
    <w:p>
      <w:pPr>
        <w:pStyle w:val="Compact"/>
        <w:numPr>
          <w:ilvl w:val="0"/>
          <w:numId w:val="1012"/>
        </w:numPr>
      </w:pPr>
      <w:r>
        <w:t xml:space="preserve">Weak volume or customer resistance to the surcharge;</w:t>
      </w:r>
    </w:p>
    <w:p>
      <w:pPr>
        <w:pStyle w:val="Compact"/>
        <w:numPr>
          <w:ilvl w:val="0"/>
          <w:numId w:val="1012"/>
        </w:numPr>
      </w:pPr>
      <w:r>
        <w:t xml:space="preserve">A reduced full-year margin outlook;</w:t>
      </w:r>
    </w:p>
    <w:p>
      <w:pPr>
        <w:pStyle w:val="Compact"/>
        <w:numPr>
          <w:ilvl w:val="0"/>
          <w:numId w:val="1012"/>
        </w:numPr>
      </w:pPr>
      <w:r>
        <w:t xml:space="preserve">Slower High-Tech, Life Sciences, or Institutional growth;</w:t>
      </w:r>
    </w:p>
    <w:p>
      <w:pPr>
        <w:pStyle w:val="Compact"/>
        <w:numPr>
          <w:ilvl w:val="0"/>
          <w:numId w:val="1012"/>
        </w:numPr>
      </w:pPr>
      <w:r>
        <w:t xml:space="preserve">Continued deterioration in Paper and Heavy Water;</w:t>
      </w:r>
    </w:p>
    <w:p>
      <w:pPr>
        <w:pStyle w:val="Compact"/>
        <w:numPr>
          <w:ilvl w:val="0"/>
          <w:numId w:val="1012"/>
        </w:numPr>
      </w:pPr>
      <w:r>
        <w:t xml:space="preserve">Higher-than-expected CoolIT dilution, delayed closing, or increased integration costs.</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Ecolab’s 2Q result is a</w:t>
      </w:r>
      <w:r>
        <w:t xml:space="preserve"> </w:t>
      </w:r>
      <w:r>
        <w:rPr>
          <w:b/>
          <w:bCs/>
        </w:rPr>
        <w:t xml:space="preserve">proof-of-execution quarter</w:t>
      </w:r>
      <w:r>
        <w:t xml:space="preserve">, not necessarily a quarter that needs to show peak earnings growth. Management has already told investors to expect a temporary price/cost lag in Q2. The more consequential judgment will be whether the evidence supports its assertion that pricing catches up by quarter-end and enables a materially stronger second half.</w:t>
      </w:r>
    </w:p>
    <w:p>
      <w:pPr>
        <w:pStyle w:val="BodyText"/>
      </w:pPr>
      <w:r>
        <w:t xml:space="preserve">The fundamental growth story remains attractive: Ecolab is reallocating its mix toward higher-growth, higher-margin categories—data-center and semiconductor water/cooling, life sciences, digital solutions, and connected pest management—while Institutional &amp; Specialty provides a high-margin earnings base. But the stock’s near-term response will depend on whether the company can protect margins through the current energy-cost cycle without compromising volume growth or its 2026 EPS algorithm.</w:t>
      </w:r>
    </w:p>
    <w:p>
      <w:r>
        <w:pict>
          <v:rect style="width:0;height:1.5pt" o:hralign="center" o:hrstd="t" o:hr="t"/>
        </w:pict>
      </w:r>
    </w:p>
    <w:bookmarkEnd w:id="21"/>
    <w:bookmarkStart w:id="22" w:name="research-basis"/>
    <w:p>
      <w:pPr>
        <w:pStyle w:val="Heading2"/>
      </w:pPr>
      <w:r>
        <w:t xml:space="preserve">Research basis</w:t>
      </w:r>
    </w:p>
    <w:p>
      <w:pPr>
        <w:pStyle w:val="Compact"/>
        <w:numPr>
          <w:ilvl w:val="0"/>
          <w:numId w:val="1013"/>
        </w:numPr>
      </w:pPr>
      <w:r>
        <w:t xml:space="preserve">Ecolab 1Q26 earnings release and supplemental financial information, issued April 28, 2026.</w:t>
      </w:r>
    </w:p>
    <w:p>
      <w:pPr>
        <w:pStyle w:val="Compact"/>
        <w:numPr>
          <w:ilvl w:val="0"/>
          <w:numId w:val="1013"/>
        </w:numPr>
      </w:pPr>
      <w:r>
        <w:t xml:space="preserve">Ecolab 1Q26 earnings-call transcript.</w:t>
      </w:r>
    </w:p>
    <w:p>
      <w:pPr>
        <w:pStyle w:val="Compact"/>
        <w:numPr>
          <w:ilvl w:val="0"/>
          <w:numId w:val="1013"/>
        </w:numPr>
      </w:pPr>
      <w:r>
        <w:t xml:space="preserve">Ecolab July 28, 2026 earnings webcast announcement.</w:t>
      </w:r>
    </w:p>
    <w:p>
      <w:pPr>
        <w:pStyle w:val="Compact"/>
        <w:numPr>
          <w:ilvl w:val="0"/>
          <w:numId w:val="1013"/>
        </w:numPr>
      </w:pPr>
      <w:r>
        <w:t xml:space="preserve">ECL historical closing-price data through July 27, 2026.</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2026-07-28T00:59:29Z</dcterms:created>
  <dcterms:modified xsi:type="dcterms:W3CDTF">2026-07-28T00:59:29Z</dcterms:modified>
</cp:coreProperties>
</file>

<file path=docProps/custom.xml><?xml version="1.0" encoding="utf-8"?>
<Properties xmlns="http://schemas.openxmlformats.org/officeDocument/2006/custom-properties" xmlns:vt="http://schemas.openxmlformats.org/officeDocument/2006/docPropsVTypes"/>
</file>