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Ecolab Inc. (ECL)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Ecolab Inc.</w:t>
            </w:r>
          </w:p>
        </w:tc>
      </w:tr>
      <w:tr>
        <w:tc>
          <w:tcPr>
            <w:tcW w:type="dxa" w:w="4320"/>
          </w:tcPr>
          <w:p>
            <w:r>
              <w:rPr>
                <w:rFonts w:ascii="Calibri" w:hAnsi="Calibri"/>
                <w:b/>
                <w:sz w:val="22"/>
              </w:rPr>
              <w:t>Ticker</w:t>
            </w:r>
          </w:p>
        </w:tc>
        <w:tc>
          <w:tcPr>
            <w:tcW w:type="dxa" w:w="4320"/>
          </w:tcPr>
          <w:p>
            <w:r>
              <w:rPr>
                <w:rFonts w:ascii="Calibri" w:hAnsi="Calibri"/>
                <w:sz w:val="22"/>
              </w:rPr>
              <w:t>ECL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1:00 PM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(Chart)</w:t>
            </w:r>
          </w:p>
        </w:tc>
        <w:tc>
          <w:tcPr>
            <w:tcW w:type="dxa" w:w="432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has drifted only marginally since the Q1 print, the bar is achievable, and management already raised the Q2 EPS growth floor to 9–12% at the June 2 William Blair conference; the biggest swing factor is whether the energy surcharge fully offsets commodity cost inflation in-quarter, unlocking the H2 acceleration narrative.</w:t>
      </w:r>
    </w:p>
    <w:p>
      <w:r>
        <w:rPr>
          <w:rFonts w:ascii="Calibri" w:hAnsi="Calibri"/>
          <w:b/>
          <w:color w:val="30A46C"/>
          <w:sz w:val="22"/>
        </w:rPr>
        <w:t xml:space="preserve">Heading into the Q2 2026 print, the consensus bar is moderate and well-telegraphed: adjusted diluted EPS of ~$2.08 on revenue of ~$4.37 billion, implying roughly 10% EPS growth year-over-year — squarely within the 9–12% Q2 guidance range management raised at the William Blair Growth Stock Conference on June 2, 2026, more than halfway through the quarter. Management’s tone has shifted </w:t>
      </w:r>
      <w:r>
        <w:rPr>
          <w:rFonts w:ascii="Calibri" w:hAnsi="Calibri"/>
          <w:color w:val="525866"/>
          <w:sz w:val="22"/>
        </w:rPr>
        <w:t xml:space="preserve">from cautious (Q2 framed as a “transition quarter” on April 28) to confident (low end of Q2 EPS growth guidance raised from 7% to 9%), citing strong execution on the April 1 energy surcharge and continued business momentum. Estimate revisions have been essentially flat since the Q1 print — Q2 EPS consensus moved from $2.078 to $2.080 — suggesting the street has largely accepted management’s framing and is not pricing in meaningful upside or downside. The stock has recovered from its post-Q1 dip (closed at $267 on earnings day, fell to ~$248 intra-period, and has since rebounded to ~$271), but </w:t>
      </w:r>
      <w:r>
        <w:rPr>
          <w:rFonts w:ascii="Calibri" w:hAnsi="Calibri"/>
          <w:b/>
          <w:color w:val="525866"/>
          <w:sz w:val="22"/>
        </w:rPr>
        <w:t>multiple compression has been the dominant driver over the past 12 months</w:t>
      </w:r>
      <w:r>
        <w:rPr>
          <w:rFonts w:ascii="Calibri" w:hAnsi="Calibri"/>
          <w:color w:val="525866"/>
          <w:sz w:val="22"/>
        </w:rPr>
        <w:t xml:space="preserve"> (NTM EV/EBITDA contracted ~13% to 17.7x), meaning the stock needs an earnings catalyst to re-rate. The key wildcard is the magnitude of gross margin stabilization: if organic gross margins are flat-to-up ex-Ovivo in Q2 (as guided), it validates the H2 acceleration story and could drive a meaningful re-rating; if margins disappoint, the H2 guide of 6–7% organic sales growth and 14–15% EPS growth (ex-CoolIT) comes into question.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achievable bar — management has already guided to at least 4% organic sales growth and 9–12% EPS growth for Q2. </w:t>
      </w:r>
      <w:r>
        <w:rPr>
          <w:rFonts w:ascii="Calibri" w:hAnsi="Calibri"/>
          <w:b/>
          <w:color w:val="525866"/>
          <w:sz w:val="22"/>
        </w:rPr>
        <w:t>Adjusted EPS is the primary swing factor</w:t>
      </w:r>
      <w:r>
        <w:rPr>
          <w:rFonts w:ascii="Calibri" w:hAnsi="Calibri"/>
          <w:color w:val="525866"/>
          <w:sz w:val="22"/>
        </w:rPr>
        <w:t>; organic sales growth and operating margin are the supporting reads on whether the energy surcharge is working and whether H2 acceleration is credible.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$4.066B</w:t>
            </w:r>
          </w:p>
        </w:tc>
        <w:tc>
          <w:tcPr>
            <w:tcW w:type="dxa" w:w="1234"/>
          </w:tcPr>
          <w:p>
            <w:r>
              <w:rPr>
                <w:rFonts w:ascii="Calibri" w:hAnsi="Calibri"/>
                <w:sz w:val="22"/>
              </w:rPr>
              <w:t>$4.025B</w:t>
            </w:r>
          </w:p>
        </w:tc>
        <w:tc>
          <w:tcPr>
            <w:tcW w:type="dxa" w:w="1234"/>
          </w:tcPr>
          <w:p>
            <w:r>
              <w:rPr>
                <w:rFonts w:ascii="Calibri" w:hAnsi="Calibri"/>
                <w:sz w:val="22"/>
              </w:rPr>
              <w:t>$4.371B</w:t>
            </w:r>
          </w:p>
        </w:tc>
        <w:tc>
          <w:tcPr>
            <w:tcW w:type="dxa" w:w="1234"/>
          </w:tcPr>
          <w:p>
            <w:r>
              <w:rPr>
                <w:rFonts w:ascii="Calibri" w:hAnsi="Calibri"/>
                <w:sz w:val="22"/>
              </w:rPr>
              <w:t>+8.5% YoY</w:t>
            </w:r>
          </w:p>
        </w:tc>
        <w:tc>
          <w:tcPr>
            <w:tcW w:type="dxa" w:w="1234"/>
          </w:tcPr>
          <w:p>
            <w:r>
              <w:rPr>
                <w:rFonts w:ascii="Calibri" w:hAnsi="Calibri"/>
                <w:sz w:val="22"/>
              </w:rPr>
              <w:t>Organic growth ≥40%</w:t>
            </w:r>
          </w:p>
        </w:tc>
        <w:tc>
          <w:tcPr>
            <w:tcW w:type="dxa" w:w="1234"/>
          </w:tcPr>
          <w:p>
            <w:r>
              <w:rPr>
                <w:rFonts w:ascii="Calibri" w:hAnsi="Calibri"/>
                <w:sz w:val="22"/>
              </w:rPr>
              <w:t>Above floor</w:t>
            </w:r>
          </w:p>
        </w:tc>
      </w:tr>
      <w:tr>
        <w:tc>
          <w:tcPr>
            <w:tcW w:type="dxa" w:w="1234"/>
          </w:tcPr>
          <w:p>
            <w:r>
              <w:rPr>
                <w:rFonts w:ascii="Calibri" w:hAnsi="Calibri"/>
                <w:sz w:val="22"/>
              </w:rPr>
              <w:t>Adj. Diluted EPS ($)</w:t>
            </w:r>
          </w:p>
        </w:tc>
        <w:tc>
          <w:tcPr>
            <w:tcW w:type="dxa" w:w="1234"/>
          </w:tcPr>
          <w:p>
            <w:r>
              <w:rPr>
                <w:rFonts w:ascii="Calibri" w:hAnsi="Calibri"/>
                <w:sz w:val="22"/>
              </w:rPr>
              <w:t>$1.70</w:t>
            </w:r>
          </w:p>
        </w:tc>
        <w:tc>
          <w:tcPr>
            <w:tcW w:type="dxa" w:w="1234"/>
          </w:tcPr>
          <w:p>
            <w:r>
              <w:rPr>
                <w:rFonts w:ascii="Calibri" w:hAnsi="Calibri"/>
                <w:sz w:val="22"/>
              </w:rPr>
              <w:t>$1.89</w:t>
            </w:r>
          </w:p>
        </w:tc>
        <w:tc>
          <w:tcPr>
            <w:tcW w:type="dxa" w:w="1234"/>
          </w:tcPr>
          <w:p>
            <w:r>
              <w:rPr>
                <w:rFonts w:ascii="Calibri" w:hAnsi="Calibri"/>
                <w:sz w:val="22"/>
              </w:rPr>
              <w:t>$2.08</w:t>
            </w:r>
          </w:p>
        </w:tc>
        <w:tc>
          <w:tcPr>
            <w:tcW w:type="dxa" w:w="1234"/>
          </w:tcPr>
          <w:p>
            <w:r>
              <w:rPr>
                <w:rFonts w:ascii="Calibri" w:hAnsi="Calibri"/>
                <w:sz w:val="22"/>
              </w:rPr>
              <w:t>+10.1% YoY</w:t>
            </w:r>
          </w:p>
        </w:tc>
        <w:tc>
          <w:tcPr>
            <w:tcW w:type="dxa" w:w="1234"/>
          </w:tcPr>
          <w:p>
            <w:r>
              <w:rPr>
                <w:rFonts w:ascii="Calibri" w:hAnsi="Calibri"/>
                <w:sz w:val="22"/>
              </w:rPr>
              <w:t>9–12% growth (raised Jun 2)</w:t>
            </w:r>
          </w:p>
        </w:tc>
        <w:tc>
          <w:tcPr>
            <w:tcW w:type="dxa" w:w="1234"/>
          </w:tcPr>
          <w:p>
            <w:r>
              <w:rPr>
                <w:rFonts w:ascii="Calibri" w:hAnsi="Calibri"/>
                <w:sz w:val="22"/>
              </w:rPr>
              <w:t>~+10% — at midpoint</w:t>
            </w:r>
          </w:p>
        </w:tc>
      </w:tr>
      <w:tr>
        <w:tc>
          <w:tcPr>
            <w:tcW w:type="dxa" w:w="1234"/>
          </w:tcPr>
          <w:p>
            <w:r>
              <w:rPr>
                <w:rFonts w:ascii="Calibri" w:hAnsi="Calibri"/>
                <w:sz w:val="22"/>
              </w:rPr>
              <w:t>Organic Sales Growth (%)</w:t>
            </w:r>
          </w:p>
        </w:tc>
        <w:tc>
          <w:tcPr>
            <w:tcW w:type="dxa" w:w="1234"/>
          </w:tcPr>
          <w:p>
            <w:r>
              <w:rPr>
                <w:rFonts w:ascii="Calibri" w:hAnsi="Calibri"/>
                <w:sz w:val="22"/>
              </w:rPr>
              <w:t>4.0%</w:t>
            </w:r>
          </w:p>
        </w:tc>
        <w:tc>
          <w:tcPr>
            <w:tcW w:type="dxa" w:w="1234"/>
          </w:tcPr>
          <w:p>
            <w:r>
              <w:rPr>
                <w:rFonts w:ascii="Calibri" w:hAnsi="Calibri"/>
                <w:sz w:val="22"/>
              </w:rPr>
              <w:t>3.0%</w:t>
            </w:r>
          </w:p>
        </w:tc>
        <w:tc>
          <w:tcPr>
            <w:tcW w:type="dxa" w:w="1234"/>
          </w:tcPr>
          <w:p>
            <w:r>
              <w:rPr>
                <w:rFonts w:ascii="Calibri" w:hAnsi="Calibri"/>
                <w:sz w:val="22"/>
              </w:rPr>
              <w:t>~4.8%</w:t>
            </w:r>
          </w:p>
        </w:tc>
        <w:tc>
          <w:tcPr>
            <w:tcW w:type="dxa" w:w="1234"/>
          </w:tcPr>
          <w:p>
            <w:r>
              <w:rPr>
                <w:rFonts w:ascii="Calibri" w:hAnsi="Calibri"/>
                <w:sz w:val="22"/>
              </w:rPr>
              <w:t>+180 bps YoY</w:t>
            </w:r>
          </w:p>
        </w:tc>
        <w:tc>
          <w:tcPr>
            <w:tcW w:type="dxa" w:w="1234"/>
          </w:tcPr>
          <w:p>
            <w:r>
              <w:rPr>
                <w:rFonts w:ascii="Calibri" w:hAnsi="Calibri"/>
                <w:sz w:val="22"/>
              </w:rPr>
              <w:t>≥40% (floor)</w:t>
            </w:r>
          </w:p>
        </w:tc>
        <w:tc>
          <w:tcPr>
            <w:tcW w:type="dxa" w:w="1234"/>
          </w:tcPr>
          <w:p>
            <w:r>
              <w:rPr>
                <w:rFonts w:ascii="Calibri" w:hAnsi="Calibri"/>
                <w:sz w:val="22"/>
              </w:rPr>
              <w:t>Above floor</w:t>
            </w:r>
          </w:p>
        </w:tc>
      </w:tr>
      <w:tr>
        <w:tc>
          <w:tcPr>
            <w:tcW w:type="dxa" w:w="1234"/>
          </w:tcPr>
          <w:p>
            <w:r>
              <w:rPr>
                <w:rFonts w:ascii="Calibri" w:hAnsi="Calibri"/>
                <w:sz w:val="22"/>
              </w:rPr>
              <w:t>Organic Price Impact (%)</w:t>
            </w:r>
          </w:p>
        </w:tc>
        <w:tc>
          <w:tcPr>
            <w:tcW w:type="dxa" w:w="1234"/>
          </w:tcPr>
          <w:p>
            <w:r>
              <w:rPr>
                <w:rFonts w:ascii="Calibri" w:hAnsi="Calibri"/>
                <w:sz w:val="22"/>
              </w:rPr>
              <w:t>3.0%</w:t>
            </w:r>
          </w:p>
        </w:tc>
        <w:tc>
          <w:tcPr>
            <w:tcW w:type="dxa" w:w="1234"/>
          </w:tcPr>
          <w:p>
            <w:r>
              <w:rPr>
                <w:rFonts w:ascii="Calibri" w:hAnsi="Calibri"/>
                <w:sz w:val="22"/>
              </w:rPr>
              <w:t>2.0%</w:t>
            </w:r>
          </w:p>
        </w:tc>
        <w:tc>
          <w:tcPr>
            <w:tcW w:type="dxa" w:w="1234"/>
          </w:tcPr>
          <w:p>
            <w:r>
              <w:rPr>
                <w:rFonts w:ascii="Calibri" w:hAnsi="Calibri"/>
                <w:sz w:val="22"/>
              </w:rPr>
              <w:t>~4.4%</w:t>
            </w:r>
          </w:p>
        </w:tc>
        <w:tc>
          <w:tcPr>
            <w:tcW w:type="dxa" w:w="1234"/>
          </w:tcPr>
          <w:p>
            <w:r>
              <w:rPr>
                <w:rFonts w:ascii="Calibri" w:hAnsi="Calibri"/>
                <w:sz w:val="22"/>
              </w:rPr>
              <w:t>+240 bps YoY</w:t>
            </w:r>
          </w:p>
        </w:tc>
        <w:tc>
          <w:tcPr>
            <w:tcW w:type="dxa" w:w="1234"/>
          </w:tcPr>
          <w:p>
            <w:r>
              <w:rPr>
                <w:rFonts w:ascii="Calibri" w:hAnsi="Calibri"/>
                <w:sz w:val="22"/>
              </w:rPr>
              <w:t>Accelerating (surcharge)</w:t>
            </w:r>
          </w:p>
        </w:tc>
        <w:tc>
          <w:tcPr>
            <w:tcW w:type="dxa" w:w="1234"/>
          </w:tcPr>
          <w:p>
            <w:r>
              <w:rPr>
                <w:rFonts w:ascii="Calibri" w:hAnsi="Calibri"/>
                <w:sz w:val="22"/>
              </w:rPr>
              <w:t>Tracking guidance</w:t>
            </w:r>
          </w:p>
        </w:tc>
      </w:tr>
      <w:tr>
        <w:tc>
          <w:tcPr>
            <w:tcW w:type="dxa" w:w="1234"/>
          </w:tcPr>
          <w:p>
            <w:r>
              <w:rPr>
                <w:rFonts w:ascii="Calibri" w:hAnsi="Calibri"/>
                <w:sz w:val="22"/>
              </w:rPr>
              <w:t>Organic Volume Impact (%)</w:t>
            </w:r>
          </w:p>
        </w:tc>
        <w:tc>
          <w:tcPr>
            <w:tcW w:type="dxa" w:w="1234"/>
          </w:tcPr>
          <w:p>
            <w:r>
              <w:rPr>
                <w:rFonts w:ascii="Calibri" w:hAnsi="Calibri"/>
                <w:sz w:val="22"/>
              </w:rPr>
              <w:t>1.0%</w:t>
            </w:r>
          </w:p>
        </w:tc>
        <w:tc>
          <w:tcPr>
            <w:tcW w:type="dxa" w:w="1234"/>
          </w:tcPr>
          <w:p>
            <w:r>
              <w:rPr>
                <w:rFonts w:ascii="Calibri" w:hAnsi="Calibri"/>
                <w:sz w:val="22"/>
              </w:rPr>
              <w:t>1.0%</w:t>
            </w:r>
          </w:p>
        </w:tc>
        <w:tc>
          <w:tcPr>
            <w:tcW w:type="dxa" w:w="1234"/>
          </w:tcPr>
          <w:p>
            <w:r>
              <w:rPr>
                <w:rFonts w:ascii="Calibri" w:hAnsi="Calibri"/>
                <w:sz w:val="22"/>
              </w:rPr>
              <w:t>~0.7%</w:t>
            </w:r>
          </w:p>
        </w:tc>
        <w:tc>
          <w:tcPr>
            <w:tcW w:type="dxa" w:w="1234"/>
          </w:tcPr>
          <w:p>
            <w:r>
              <w:rPr>
                <w:rFonts w:ascii="Calibri" w:hAnsi="Calibri"/>
                <w:sz w:val="22"/>
              </w:rPr>
              <w:t>Flat YoY</w:t>
            </w:r>
          </w:p>
        </w:tc>
        <w:tc>
          <w:tcPr>
            <w:tcW w:type="dxa" w:w="1234"/>
          </w:tcPr>
          <w:p>
            <w:r>
              <w:rPr>
                <w:rFonts w:ascii="Calibri" w:hAnsi="Calibri"/>
                <w:sz w:val="22"/>
              </w:rPr>
              <w:t>Slight moderation expected</w:t>
            </w:r>
          </w:p>
        </w:tc>
        <w:tc>
          <w:tcPr>
            <w:tcW w:type="dxa" w:w="1234"/>
          </w:tcPr>
          <w:p>
            <w:r>
              <w:rPr>
                <w:rFonts w:ascii="Calibri" w:hAnsi="Calibri"/>
                <w:sz w:val="22"/>
              </w:rPr>
              <w:t>Tracking guidance</w:t>
            </w:r>
          </w:p>
        </w:tc>
      </w:tr>
      <w:tr>
        <w:tc>
          <w:tcPr>
            <w:tcW w:type="dxa" w:w="1234"/>
          </w:tcPr>
          <w:p>
            <w:r>
              <w:rPr>
                <w:rFonts w:ascii="Calibri" w:hAnsi="Calibri"/>
                <w:sz w:val="22"/>
              </w:rPr>
              <w:t>Operating Margin — Adj. (%)</w:t>
            </w:r>
          </w:p>
        </w:tc>
        <w:tc>
          <w:tcPr>
            <w:tcW w:type="dxa" w:w="1234"/>
          </w:tcPr>
          <w:p>
            <w:r>
              <w:rPr>
                <w:rFonts w:ascii="Calibri" w:hAnsi="Calibri"/>
                <w:sz w:val="22"/>
              </w:rPr>
              <w:t>16.7%</w:t>
            </w:r>
          </w:p>
        </w:tc>
        <w:tc>
          <w:tcPr>
            <w:tcW w:type="dxa" w:w="1234"/>
          </w:tcPr>
          <w:p>
            <w:r>
              <w:rPr>
                <w:rFonts w:ascii="Calibri" w:hAnsi="Calibri"/>
                <w:sz w:val="22"/>
              </w:rPr>
              <w:t>18.3%</w:t>
            </w:r>
          </w:p>
        </w:tc>
        <w:tc>
          <w:tcPr>
            <w:tcW w:type="dxa" w:w="1234"/>
          </w:tcPr>
          <w:p>
            <w:r>
              <w:rPr>
                <w:rFonts w:ascii="Calibri" w:hAnsi="Calibri"/>
                <w:sz w:val="22"/>
              </w:rPr>
              <w:t>~18.7%</w:t>
            </w:r>
          </w:p>
        </w:tc>
        <w:tc>
          <w:tcPr>
            <w:tcW w:type="dxa" w:w="1234"/>
          </w:tcPr>
          <w:p>
            <w:r>
              <w:rPr>
                <w:rFonts w:ascii="Calibri" w:hAnsi="Calibri"/>
                <w:sz w:val="22"/>
              </w:rPr>
              <w:t>+40 bps YoY</w:t>
            </w:r>
          </w:p>
        </w:tc>
        <w:tc>
          <w:tcPr>
            <w:tcW w:type="dxa" w:w="1234"/>
          </w:tcPr>
          <w:p>
            <w:r>
              <w:rPr>
                <w:rFonts w:ascii="Calibri" w:hAnsi="Calibri"/>
                <w:sz w:val="22"/>
              </w:rPr>
              <w:t>Stable organic gross margin ex-Ovivo</w:t>
            </w:r>
          </w:p>
        </w:tc>
        <w:tc>
          <w:tcPr>
            <w:tcW w:type="dxa" w:w="1234"/>
          </w:tcPr>
          <w:p>
            <w:r>
              <w:rPr>
                <w:rFonts w:ascii="Calibri" w:hAnsi="Calibri"/>
                <w:sz w:val="22"/>
              </w:rPr>
              <w:t>Tracking guidance</w:t>
            </w:r>
          </w:p>
        </w:tc>
      </w:tr>
    </w:tbl>
    <w:p>
      <w:r>
        <w:rPr>
          <w:rFonts w:ascii="Calibri" w:hAnsi="Calibri"/>
          <w:i/>
          <w:color w:val="525866"/>
          <w:sz w:val="22"/>
        </w:rPr>
        <w:t>Sources: Visible Alpha Consensus and Actuals Data (Net Sales, EPS — Diluted — Operating, Operating Margin — Operating, Organic Impact, Price Impact, Volume Impact). Q2 2026 consensus as of July 27, 2026. Guidance from ECL Q1 2026 Earnings Call (April 28, 2026) and William Blair Growth Stock Conference (June 2, 2026). Note: Net Sales guidance floor of “at least 4% organic growth” translates to an implied revenue floor; consensus of $4.371B is above that floor.</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$1.68</w:t>
            </w:r>
          </w:p>
        </w:tc>
        <w:tc>
          <w:tcPr>
            <w:tcW w:type="dxa" w:w="1728"/>
          </w:tcPr>
          <w:p>
            <w:r>
              <w:rPr>
                <w:rFonts w:ascii="Calibri" w:hAnsi="Calibri"/>
                <w:sz w:val="22"/>
              </w:rPr>
              <w:t>$1.670</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$1.83</w:t>
            </w:r>
          </w:p>
        </w:tc>
        <w:tc>
          <w:tcPr>
            <w:tcW w:type="dxa" w:w="1728"/>
          </w:tcPr>
          <w:p>
            <w:r>
              <w:rPr>
                <w:rFonts w:ascii="Calibri" w:hAnsi="Calibri"/>
                <w:sz w:val="22"/>
              </w:rPr>
              <w:t>$1.822</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$1.81</w:t>
            </w:r>
          </w:p>
        </w:tc>
        <w:tc>
          <w:tcPr>
            <w:tcW w:type="dxa" w:w="1728"/>
          </w:tcPr>
          <w:p>
            <w:r>
              <w:rPr>
                <w:rFonts w:ascii="Calibri" w:hAnsi="Calibri"/>
                <w:sz w:val="22"/>
              </w:rPr>
              <w:t>$1.795</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$1.50</w:t>
            </w:r>
          </w:p>
        </w:tc>
        <w:tc>
          <w:tcPr>
            <w:tcW w:type="dxa" w:w="1728"/>
          </w:tcPr>
          <w:p>
            <w:r>
              <w:rPr>
                <w:rFonts w:ascii="Calibri" w:hAnsi="Calibri"/>
                <w:sz w:val="22"/>
              </w:rPr>
              <w:t>$1.496</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$1.89</w:t>
            </w:r>
          </w:p>
        </w:tc>
        <w:tc>
          <w:tcPr>
            <w:tcW w:type="dxa" w:w="1728"/>
          </w:tcPr>
          <w:p>
            <w:r>
              <w:rPr>
                <w:rFonts w:ascii="Calibri" w:hAnsi="Calibri"/>
                <w:sz w:val="22"/>
              </w:rPr>
              <w:t>$1.904</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$2.07</w:t>
            </w:r>
          </w:p>
        </w:tc>
        <w:tc>
          <w:tcPr>
            <w:tcW w:type="dxa" w:w="1728"/>
          </w:tcPr>
          <w:p>
            <w:r>
              <w:rPr>
                <w:rFonts w:ascii="Calibri" w:hAnsi="Calibri"/>
                <w:sz w:val="22"/>
              </w:rPr>
              <w:t>$2.070</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$2.08</w:t>
            </w:r>
          </w:p>
        </w:tc>
        <w:tc>
          <w:tcPr>
            <w:tcW w:type="dxa" w:w="1728"/>
          </w:tcPr>
          <w:p>
            <w:r>
              <w:rPr>
                <w:rFonts w:ascii="Calibri" w:hAnsi="Calibri"/>
                <w:sz w:val="22"/>
              </w:rPr>
              <w:t>$2.071</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$1.70</w:t>
            </w:r>
          </w:p>
        </w:tc>
        <w:tc>
          <w:tcPr>
            <w:tcW w:type="dxa" w:w="1728"/>
          </w:tcPr>
          <w:p>
            <w:r>
              <w:rPr>
                <w:rFonts w:ascii="Calibri" w:hAnsi="Calibri"/>
                <w:sz w:val="22"/>
              </w:rPr>
              <w:t>$1.697</w:t>
            </w:r>
          </w:p>
        </w:tc>
        <w:tc>
          <w:tcPr>
            <w:tcW w:type="dxa" w:w="1728"/>
          </w:tcPr>
          <w:p>
            <w:r>
              <w:rPr>
                <w:rFonts w:ascii="Calibri" w:hAnsi="Calibri"/>
                <w:sz w:val="22"/>
              </w:rPr>
              <w:t>+0.2%</w:t>
            </w:r>
          </w:p>
        </w:tc>
        <w:tc>
          <w:tcPr>
            <w:tcW w:type="dxa" w:w="1728"/>
          </w:tcPr>
          <w:p>
            <w:r>
              <w:rPr>
                <w:rFonts w:ascii="Calibri" w:hAnsi="Calibri"/>
                <w:b/>
                <w:color w:val="30A46C"/>
                <w:sz w:val="22"/>
              </w:rPr>
              <w:t>Beat</w:t>
            </w:r>
          </w:p>
        </w:tc>
      </w:tr>
    </w:tbl>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$3.986B</w:t>
            </w:r>
          </w:p>
        </w:tc>
        <w:tc>
          <w:tcPr>
            <w:tcW w:type="dxa" w:w="1728"/>
          </w:tcPr>
          <w:p>
            <w:r>
              <w:rPr>
                <w:rFonts w:ascii="Calibri" w:hAnsi="Calibri"/>
                <w:sz w:val="22"/>
              </w:rPr>
              <w:t>$4.030B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$3.999B</w:t>
            </w:r>
          </w:p>
        </w:tc>
        <w:tc>
          <w:tcPr>
            <w:tcW w:type="dxa" w:w="1728"/>
          </w:tcPr>
          <w:p>
            <w:r>
              <w:rPr>
                <w:rFonts w:ascii="Calibri" w:hAnsi="Calibri"/>
                <w:sz w:val="22"/>
              </w:rPr>
              <w:t>$4.038B</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$4.005B</w:t>
            </w:r>
          </w:p>
        </w:tc>
        <w:tc>
          <w:tcPr>
            <w:tcW w:type="dxa" w:w="1728"/>
          </w:tcPr>
          <w:p>
            <w:r>
              <w:rPr>
                <w:rFonts w:ascii="Calibri" w:hAnsi="Calibri"/>
                <w:sz w:val="22"/>
              </w:rPr>
              <w:t>$4.006B</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$3.695B</w:t>
            </w:r>
          </w:p>
        </w:tc>
        <w:tc>
          <w:tcPr>
            <w:tcW w:type="dxa" w:w="1728"/>
          </w:tcPr>
          <w:p>
            <w:r>
              <w:rPr>
                <w:rFonts w:ascii="Calibri" w:hAnsi="Calibri"/>
                <w:sz w:val="22"/>
              </w:rPr>
              <w:t>$3.711B</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$4.025B</w:t>
            </w:r>
          </w:p>
        </w:tc>
        <w:tc>
          <w:tcPr>
            <w:tcW w:type="dxa" w:w="1728"/>
          </w:tcPr>
          <w:p>
            <w:r>
              <w:rPr>
                <w:rFonts w:ascii="Calibri" w:hAnsi="Calibri"/>
                <w:sz w:val="22"/>
              </w:rPr>
              <w:t>$4.034B</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$4.165B</w:t>
            </w:r>
          </w:p>
        </w:tc>
        <w:tc>
          <w:tcPr>
            <w:tcW w:type="dxa" w:w="1728"/>
          </w:tcPr>
          <w:p>
            <w:r>
              <w:rPr>
                <w:rFonts w:ascii="Calibri" w:hAnsi="Calibri"/>
                <w:sz w:val="22"/>
              </w:rPr>
              <w:t>$4.130B</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$4.196B</w:t>
            </w:r>
          </w:p>
        </w:tc>
        <w:tc>
          <w:tcPr>
            <w:tcW w:type="dxa" w:w="1728"/>
          </w:tcPr>
          <w:p>
            <w:r>
              <w:rPr>
                <w:rFonts w:ascii="Calibri" w:hAnsi="Calibri"/>
                <w:sz w:val="22"/>
              </w:rPr>
              <w:t>$4.185B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$4.066B</w:t>
            </w:r>
          </w:p>
        </w:tc>
        <w:tc>
          <w:tcPr>
            <w:tcW w:type="dxa" w:w="1728"/>
          </w:tcPr>
          <w:p>
            <w:r>
              <w:rPr>
                <w:rFonts w:ascii="Calibri" w:hAnsi="Calibri"/>
                <w:sz w:val="22"/>
              </w:rPr>
              <w:t>$4.020B</w:t>
            </w:r>
          </w:p>
        </w:tc>
        <w:tc>
          <w:tcPr>
            <w:tcW w:type="dxa" w:w="1728"/>
          </w:tcPr>
          <w:p>
            <w:r>
              <w:rPr>
                <w:rFonts w:ascii="Calibri" w:hAnsi="Calibri"/>
                <w:sz w:val="22"/>
              </w:rPr>
              <w:t>+1.1%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ECL has beaten or matched adjusted EPS consensus in 7 of the last 8 quarters, with beats typically narrow (+0.2% to +0.8%), reflecting management’s practice of guiding conservatively and delivering at or slightly above the midpoint. Revenue beats have been less consistent — 4 misses in the prior 5 quarters before the recent Q3/Q4 2025 and Q1 2026 beats — suggesting the Ovivo consolidation and growth engine acceleration are now providing a more reliable top-line tailwind.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the Q2 EPS growth floor from 7% to 9% at the June 2 William Blair conference — the only formal guidance change since Q1 earnings. </w:t>
      </w:r>
      <w:r>
        <w:rPr>
          <w:rFonts w:ascii="Calibri" w:hAnsi="Calibri"/>
          <w:b/>
          <w:color w:val="525866"/>
          <w:sz w:val="22"/>
        </w:rPr>
        <w:t>Tone has shifted from cautious (“transition quarter”) to confident</w:t>
      </w:r>
      <w:r>
        <w:rPr>
          <w:rFonts w:ascii="Calibri" w:hAnsi="Calibri"/>
          <w:color w:val="525866"/>
          <w:sz w:val="22"/>
        </w:rPr>
        <w:t>, with the CFO citing strong surcharge execution and high visibility with more than half of Q2 complete at the time of the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Earnings —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 Growth</w:t>
            </w:r>
          </w:p>
        </w:tc>
        <w:tc>
          <w:tcPr>
            <w:tcW w:type="dxa" w:w="1728"/>
          </w:tcPr>
          <w:p>
            <w:r>
              <w:rPr>
                <w:rFonts w:ascii="Calibri" w:hAnsi="Calibri"/>
                <w:sz w:val="22"/>
              </w:rPr>
              <w:t>7% to 12% growth (below 12–15% FY range due to commodity headwind)</w:t>
            </w:r>
          </w:p>
        </w:tc>
        <w:tc>
          <w:tcPr>
            <w:tcW w:type="dxa" w:w="1728"/>
          </w:tcPr>
          <w:p>
            <w:r>
              <w:rPr>
                <w:rFonts w:ascii="Calibri" w:hAnsi="Calibri"/>
                <w:sz w:val="22"/>
              </w:rPr>
              <w:t>9% to 12% growth</w:t>
            </w:r>
          </w:p>
        </w:tc>
        <w:tc>
          <w:tcPr>
            <w:tcW w:type="dxa" w:w="1728"/>
          </w:tcPr>
          <w:p>
            <w:r>
              <w:rPr>
                <w:rFonts w:ascii="Calibri" w:hAnsi="Calibri"/>
                <w:sz w:val="22"/>
              </w:rPr>
              <w:t>~10.1% (consensus $2.08 vs. $1.89 prior year)</w:t>
            </w:r>
          </w:p>
        </w:tc>
        <w:tc>
          <w:tcPr>
            <w:tcW w:type="dxa" w:w="1728"/>
          </w:tcPr>
          <w:p>
            <w:r>
              <w:rPr>
                <w:rFonts w:ascii="Calibri" w:hAnsi="Calibri"/>
                <w:sz w:val="22"/>
              </w:rPr>
              <w:t>↑ Raised at William Blair Conference Jun 2, 2026; CFO cited &gt;50% of Q2 complete with strong surcharge execution and high visibility</w:t>
            </w:r>
          </w:p>
        </w:tc>
      </w:tr>
      <w:tr>
        <w:tc>
          <w:tcPr>
            <w:tcW w:type="dxa" w:w="1728"/>
          </w:tcPr>
          <w:p>
            <w:r>
              <w:rPr>
                <w:rFonts w:ascii="Calibri" w:hAnsi="Calibri"/>
                <w:sz w:val="22"/>
              </w:rPr>
              <w:t>Q2 2026 Organic Sales Growth</w:t>
            </w:r>
          </w:p>
        </w:tc>
        <w:tc>
          <w:tcPr>
            <w:tcW w:type="dxa" w:w="1728"/>
          </w:tcPr>
          <w:p>
            <w:r>
              <w:rPr>
                <w:rFonts w:ascii="Calibri" w:hAnsi="Calibri"/>
                <w:sz w:val="22"/>
              </w:rPr>
              <w:t>Implied acceleration from Q1’s 4%; surcharge may “slightly” impact volumes</w:t>
            </w:r>
          </w:p>
        </w:tc>
        <w:tc>
          <w:tcPr>
            <w:tcW w:type="dxa" w:w="1728"/>
          </w:tcPr>
          <w:p>
            <w:r>
              <w:rPr>
                <w:rFonts w:ascii="Calibri" w:hAnsi="Calibri"/>
                <w:sz w:val="22"/>
              </w:rPr>
              <w:t>≥40% (floor set at William Blair)</w:t>
            </w:r>
          </w:p>
        </w:tc>
        <w:tc>
          <w:tcPr>
            <w:tcW w:type="dxa" w:w="1728"/>
          </w:tcPr>
          <w:p>
            <w:r>
              <w:rPr>
                <w:rFonts w:ascii="Calibri" w:hAnsi="Calibri"/>
                <w:sz w:val="22"/>
              </w:rPr>
              <w:t>~4.8% (consensus)</w:t>
            </w:r>
          </w:p>
        </w:tc>
        <w:tc>
          <w:tcPr>
            <w:tcW w:type="dxa" w:w="1728"/>
          </w:tcPr>
          <w:p>
            <w:r>
              <w:rPr>
                <w:rFonts w:ascii="Calibri" w:hAnsi="Calibri"/>
                <w:sz w:val="22"/>
              </w:rPr>
              <w:t>↑ Floor raised at William Blair Jun 2, 2026; “minimum on sales is that 4%” — more confident tone on volume resilience</w:t>
            </w:r>
          </w:p>
        </w:tc>
      </w:tr>
      <w:tr>
        <w:tc>
          <w:tcPr>
            <w:tcW w:type="dxa" w:w="1728"/>
          </w:tcPr>
          <w:p>
            <w:r>
              <w:rPr>
                <w:rFonts w:ascii="Calibri" w:hAnsi="Calibri"/>
                <w:sz w:val="22"/>
              </w:rPr>
              <w:t>Q2 2026 Organic Gross Margin</w:t>
            </w:r>
          </w:p>
        </w:tc>
        <w:tc>
          <w:tcPr>
            <w:tcW w:type="dxa" w:w="1728"/>
          </w:tcPr>
          <w:p>
            <w:r>
              <w:rPr>
                <w:rFonts w:ascii="Calibri" w:hAnsi="Calibri"/>
                <w:sz w:val="22"/>
              </w:rPr>
              <w:t>Stable organic gross margin expected as surcharge builds; reported gross margin lower due to Ovivo M&amp;A impact</w:t>
            </w:r>
          </w:p>
        </w:tc>
        <w:tc>
          <w:tcPr>
            <w:tcW w:type="dxa" w:w="1728"/>
          </w:tcPr>
          <w:p>
            <w:r>
              <w:rPr>
                <w:rFonts w:ascii="Calibri" w:hAnsi="Calibri"/>
                <w:sz w:val="22"/>
              </w:rPr>
              <w:t>Stable organic gross margins ex-Ovivo; “gross margins to stabilize as we exit Q2”</w:t>
            </w:r>
          </w:p>
        </w:tc>
        <w:tc>
          <w:tcPr>
            <w:tcW w:type="dxa" w:w="1728"/>
          </w:tcPr>
          <w:p>
            <w:r>
              <w:rPr>
                <w:rFonts w:ascii="Calibri" w:hAnsi="Calibri"/>
                <w:sz w:val="22"/>
              </w:rPr>
              <w:t>~18.7% adj. operating margin (consensus)</w:t>
            </w:r>
          </w:p>
        </w:tc>
        <w:tc>
          <w:tcPr>
            <w:tcW w:type="dxa" w:w="1728"/>
          </w:tcPr>
          <w:p>
            <w:r>
              <w:rPr>
                <w:rFonts w:ascii="Calibri" w:hAnsi="Calibri"/>
                <w:sz w:val="22"/>
              </w:rPr>
              <w:t>Unchanged in direction; William Blair added specificity that stabilization is expected at Q2 exit, not necessarily full-quarter average</w:t>
            </w:r>
          </w:p>
        </w:tc>
      </w:tr>
      <w:tr>
        <w:tc>
          <w:tcPr>
            <w:tcW w:type="dxa" w:w="1728"/>
          </w:tcPr>
          <w:p>
            <w:r>
              <w:rPr>
                <w:rFonts w:ascii="Calibri" w:hAnsi="Calibri"/>
                <w:sz w:val="22"/>
              </w:rPr>
              <w:t>FY 2026 Adj. EPS Growth (ex-CoolIT)</w:t>
            </w:r>
          </w:p>
        </w:tc>
        <w:tc>
          <w:tcPr>
            <w:tcW w:type="dxa" w:w="1728"/>
          </w:tcPr>
          <w:p>
            <w:r>
              <w:rPr>
                <w:rFonts w:ascii="Calibri" w:hAnsi="Calibri"/>
                <w:sz w:val="22"/>
              </w:rPr>
              <w:t>12% to 15% ($8.43–$8.63; midpoint $8.53)</w:t>
            </w:r>
          </w:p>
        </w:tc>
        <w:tc>
          <w:tcPr>
            <w:tcW w:type="dxa" w:w="1728"/>
          </w:tcPr>
          <w:p>
            <w:r>
              <w:rPr>
                <w:rFonts w:ascii="Calibri" w:hAnsi="Calibri"/>
                <w:sz w:val="22"/>
              </w:rPr>
              <w:t>Unchanged</w:t>
            </w:r>
          </w:p>
        </w:tc>
        <w:tc>
          <w:tcPr>
            <w:tcW w:type="dxa" w:w="1728"/>
          </w:tcPr>
          <w:p>
            <w:r>
              <w:rPr>
                <w:rFonts w:ascii="Calibri" w:hAnsi="Calibri"/>
                <w:sz w:val="22"/>
              </w:rPr>
              <w:t>$8.19 (consensus, includes CoolIT dilution impact)</w:t>
            </w:r>
          </w:p>
        </w:tc>
        <w:tc>
          <w:tcPr>
            <w:tcW w:type="dxa" w:w="1728"/>
          </w:tcPr>
          <w:p>
            <w:r>
              <w:rPr>
                <w:rFonts w:ascii="Calibri" w:hAnsi="Calibri"/>
                <w:sz w:val="22"/>
              </w:rPr>
              <w:t>Consensus below guidance midpoint due to ~$0.40 CoolIT H2 dilution ($0.20/quarter); underlying ex-CoolIT consensus tracks guidance</w:t>
            </w:r>
          </w:p>
        </w:tc>
      </w:tr>
      <w:tr>
        <w:tc>
          <w:tcPr>
            <w:tcW w:type="dxa" w:w="1728"/>
          </w:tcPr>
          <w:p>
            <w:r>
              <w:rPr>
                <w:rFonts w:ascii="Calibri" w:hAnsi="Calibri"/>
                <w:sz w:val="22"/>
              </w:rPr>
              <w:t>H2 2026 Organic Sales Growth</w:t>
            </w:r>
          </w:p>
        </w:tc>
        <w:tc>
          <w:tcPr>
            <w:tcW w:type="dxa" w:w="1728"/>
          </w:tcPr>
          <w:p>
            <w:r>
              <w:rPr>
                <w:rFonts w:ascii="Calibri" w:hAnsi="Calibri"/>
                <w:sz w:val="22"/>
              </w:rPr>
              <w:t>6% to 7%</w:t>
            </w:r>
          </w:p>
        </w:tc>
        <w:tc>
          <w:tcPr>
            <w:tcW w:type="dxa" w:w="1728"/>
          </w:tcPr>
          <w:p>
            <w:r>
              <w:rPr>
                <w:rFonts w:ascii="Calibri" w:hAnsi="Calibri"/>
                <w:sz w:val="22"/>
              </w:rPr>
              <w:t>Reaffirmed at William Blair; “organic sales growth accelerates to 6% to 7%”</w:t>
            </w:r>
          </w:p>
        </w:tc>
        <w:tc>
          <w:tcPr>
            <w:tcW w:type="dxa" w:w="1728"/>
          </w:tcPr>
          <w:p>
            <w:r>
              <w:rPr>
                <w:rFonts w:ascii="Calibri" w:hAnsi="Calibri"/>
                <w:sz w:val="22"/>
              </w:rPr>
              <w:t>~5.1% FY consensus (implies H2 acceleration)</w:t>
            </w:r>
          </w:p>
        </w:tc>
        <w:tc>
          <w:tcPr>
            <w:tcW w:type="dxa" w:w="1728"/>
          </w:tcPr>
          <w:p>
            <w:r>
              <w:rPr>
                <w:rFonts w:ascii="Calibri" w:hAnsi="Calibri"/>
                <w:sz w:val="22"/>
              </w:rPr>
              <w:t>Unchanged; William Blair added that organic gross margin expands 75 bps in H2 and H2 adj. EPS growth reaches 14–15% ex-CoolIT</w:t>
            </w:r>
          </w:p>
        </w:tc>
      </w:tr>
      <w:tr>
        <w:tc>
          <w:tcPr>
            <w:tcW w:type="dxa" w:w="1728"/>
          </w:tcPr>
          <w:p>
            <w:r>
              <w:rPr>
                <w:rFonts w:ascii="Calibri" w:hAnsi="Calibri"/>
                <w:sz w:val="22"/>
              </w:rPr>
              <w:t>CoolIT Acquisition EPS Impact (H2 2026)</w:t>
            </w:r>
          </w:p>
        </w:tc>
        <w:tc>
          <w:tcPr>
            <w:tcW w:type="dxa" w:w="1728"/>
          </w:tcPr>
          <w:p>
            <w:r>
              <w:rPr>
                <w:rFonts w:ascii="Calibri" w:hAnsi="Calibri"/>
                <w:sz w:val="22"/>
              </w:rPr>
              <w:t>~$0.20/quarter dilution from financing &amp; amortization; neutralizes in 2027</w:t>
            </w:r>
          </w:p>
        </w:tc>
        <w:tc>
          <w:tcPr>
            <w:tcW w:type="dxa" w:w="1728"/>
          </w:tcPr>
          <w:p>
            <w:r>
              <w:rPr>
                <w:rFonts w:ascii="Calibri" w:hAnsi="Calibri"/>
                <w:sz w:val="22"/>
              </w:rPr>
              <w:t>Unchanged; CoolIT Q1 sales grew ~100% (vs. 30%+ expected)</w:t>
            </w:r>
          </w:p>
        </w:tc>
        <w:tc>
          <w:tcPr>
            <w:tcW w:type="dxa" w:w="1728"/>
          </w:tcPr>
          <w:p>
            <w:r>
              <w:rPr>
                <w:rFonts w:ascii="Calibri" w:hAnsi="Calibri"/>
                <w:sz w:val="22"/>
              </w:rPr>
              <w:t>Embedded in FY consensus</w:t>
            </w:r>
          </w:p>
        </w:tc>
        <w:tc>
          <w:tcPr>
            <w:tcW w:type="dxa" w:w="1728"/>
          </w:tcPr>
          <w:p>
            <w:r>
              <w:rPr>
                <w:rFonts w:ascii="Calibri" w:hAnsi="Calibri"/>
                <w:sz w:val="22"/>
              </w:rPr>
              <w:t>CoolIT tracking well ahead of plan; combined with Ovivo expected to add ~200 bps to top-line on pro forma annualized basis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EPS estimates have been remarkably stable since the Q1 print (+0.1% drift), confirming the street has accepted management’s guidance range. </w:t>
      </w:r>
      <w:r>
        <w:rPr>
          <w:rFonts w:ascii="Calibri" w:hAnsi="Calibri"/>
          <w:b/>
          <w:color w:val="525866"/>
          <w:sz w:val="22"/>
        </w:rPr>
        <w:t>FY 2026 EPS estimates have drifted down ~2.5%</w:t>
      </w:r>
      <w:r>
        <w:rPr>
          <w:rFonts w:ascii="Calibri" w:hAnsi="Calibri"/>
          <w:color w:val="525866"/>
          <w:sz w:val="22"/>
        </w:rPr>
        <w:t xml:space="preserve"> since the Q1 print, almost entirely explained by the CoolIT H2 dilution (~$0.40) being incorporated into consensus — not a deterioration in underlying business expectations.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$2.078</w:t>
            </w:r>
          </w:p>
        </w:tc>
        <w:tc>
          <w:tcPr>
            <w:tcW w:type="dxa" w:w="1080"/>
          </w:tcPr>
          <w:p>
            <w:r>
              <w:rPr>
                <w:rFonts w:ascii="Calibri" w:hAnsi="Calibri"/>
                <w:sz w:val="22"/>
              </w:rPr>
              <w:t>$2.080</w:t>
            </w:r>
          </w:p>
        </w:tc>
        <w:tc>
          <w:tcPr>
            <w:tcW w:type="dxa" w:w="1080"/>
          </w:tcPr>
          <w:p>
            <w:r>
              <w:rPr>
                <w:rFonts w:ascii="Calibri" w:hAnsi="Calibri"/>
                <w:sz w:val="22"/>
              </w:rPr>
              <w:t>+0.1%</w:t>
            </w:r>
          </w:p>
        </w:tc>
        <w:tc>
          <w:tcPr>
            <w:tcW w:type="dxa" w:w="1080"/>
          </w:tcPr>
          <w:p>
            <w:r>
              <w:rPr>
                <w:rFonts w:ascii="Calibri" w:hAnsi="Calibri"/>
                <w:sz w:val="22"/>
              </w:rPr>
              <w:t>7–12% growth ($1.89 base → $2.02–$2.12)</w:t>
            </w:r>
          </w:p>
        </w:tc>
        <w:tc>
          <w:tcPr>
            <w:tcW w:type="dxa" w:w="1080"/>
          </w:tcPr>
          <w:p>
            <w:r>
              <w:rPr>
                <w:rFonts w:ascii="Calibri" w:hAnsi="Calibri"/>
                <w:sz w:val="22"/>
              </w:rPr>
              <w:t>9–12% growth ($2.06–$2.12; raised Jun 2)</w:t>
            </w:r>
          </w:p>
        </w:tc>
        <w:tc>
          <w:tcPr>
            <w:tcW w:type="dxa" w:w="1080"/>
          </w:tcPr>
          <w:p>
            <w:r>
              <w:rPr>
                <w:rFonts w:ascii="Calibri" w:hAnsi="Calibri"/>
                <w:sz w:val="22"/>
              </w:rPr>
              <w:t>Floor raised +200 bps</w:t>
            </w:r>
          </w:p>
        </w:tc>
        <w:tc>
          <w:tcPr>
            <w:tcW w:type="dxa" w:w="1080"/>
          </w:tcPr>
          <w:p>
            <w:r>
              <w:rPr>
                <w:rFonts w:ascii="Calibri" w:hAnsi="Calibri"/>
                <w:sz w:val="22"/>
              </w:rPr>
              <w:t>At midpoint of raised range</w:t>
            </w:r>
          </w:p>
        </w:tc>
      </w:tr>
      <w:tr>
        <w:tc>
          <w:tcPr>
            <w:tcW w:type="dxa" w:w="1080"/>
          </w:tcPr>
          <w:p>
            <w:r>
              <w:rPr>
                <w:rFonts w:ascii="Calibri" w:hAnsi="Calibri"/>
                <w:sz w:val="22"/>
              </w:rPr>
              <w:t>Net Sales — Q2 2026</w:t>
            </w:r>
          </w:p>
        </w:tc>
        <w:tc>
          <w:tcPr>
            <w:tcW w:type="dxa" w:w="1080"/>
          </w:tcPr>
          <w:p>
            <w:r>
              <w:rPr>
                <w:rFonts w:ascii="Calibri" w:hAnsi="Calibri"/>
                <w:sz w:val="22"/>
              </w:rPr>
              <w:t>$4.372B</w:t>
            </w:r>
          </w:p>
        </w:tc>
        <w:tc>
          <w:tcPr>
            <w:tcW w:type="dxa" w:w="1080"/>
          </w:tcPr>
          <w:p>
            <w:r>
              <w:rPr>
                <w:rFonts w:ascii="Calibri" w:hAnsi="Calibri"/>
                <w:sz w:val="22"/>
              </w:rPr>
              <w:t>$4.371B</w:t>
            </w:r>
          </w:p>
        </w:tc>
        <w:tc>
          <w:tcPr>
            <w:tcW w:type="dxa" w:w="1080"/>
          </w:tcPr>
          <w:p>
            <w:r>
              <w:rPr>
                <w:rFonts w:ascii="Calibri" w:hAnsi="Calibri"/>
                <w:sz w:val="22"/>
              </w:rPr>
              <w:t>0.0%</w:t>
            </w:r>
          </w:p>
        </w:tc>
        <w:tc>
          <w:tcPr>
            <w:tcW w:type="dxa" w:w="1080"/>
          </w:tcPr>
          <w:p>
            <w:r>
              <w:rPr>
                <w:rFonts w:ascii="Calibri" w:hAnsi="Calibri"/>
                <w:sz w:val="22"/>
              </w:rPr>
              <w:t>≥40% organic growth (floor)</w:t>
            </w:r>
          </w:p>
        </w:tc>
        <w:tc>
          <w:tcPr>
            <w:tcW w:type="dxa" w:w="1080"/>
          </w:tcPr>
          <w:p>
            <w:r>
              <w:rPr>
                <w:rFonts w:ascii="Calibri" w:hAnsi="Calibri"/>
                <w:sz w:val="22"/>
              </w:rPr>
              <w:t>≥40% organic growth (reaffirmed Jun 2)</w:t>
            </w:r>
          </w:p>
        </w:tc>
        <w:tc>
          <w:tcPr>
            <w:tcW w:type="dxa" w:w="1080"/>
          </w:tcPr>
          <w:p>
            <w:r>
              <w:rPr>
                <w:rFonts w:ascii="Calibri" w:hAnsi="Calibri"/>
                <w:sz w:val="22"/>
              </w:rPr>
              <w:t>Unchanged</w:t>
            </w:r>
          </w:p>
        </w:tc>
        <w:tc>
          <w:tcPr>
            <w:tcW w:type="dxa" w:w="1080"/>
          </w:tcPr>
          <w:p>
            <w:r>
              <w:rPr>
                <w:rFonts w:ascii="Calibri" w:hAnsi="Calibri"/>
                <w:sz w:val="22"/>
              </w:rPr>
              <w:t>Above floor</w:t>
            </w:r>
          </w:p>
        </w:tc>
      </w:tr>
      <w:tr>
        <w:tc>
          <w:tcPr>
            <w:tcW w:type="dxa" w:w="1080"/>
          </w:tcPr>
          <w:p>
            <w:r>
              <w:rPr>
                <w:rFonts w:ascii="Calibri" w:hAnsi="Calibri"/>
                <w:sz w:val="22"/>
              </w:rPr>
              <w:t>Adj. EPS — FY 2026</w:t>
            </w:r>
          </w:p>
        </w:tc>
        <w:tc>
          <w:tcPr>
            <w:tcW w:type="dxa" w:w="1080"/>
          </w:tcPr>
          <w:p>
            <w:r>
              <w:rPr>
                <w:rFonts w:ascii="Calibri" w:hAnsi="Calibri"/>
                <w:sz w:val="22"/>
              </w:rPr>
              <w:t>$8.399</w:t>
            </w:r>
          </w:p>
        </w:tc>
        <w:tc>
          <w:tcPr>
            <w:tcW w:type="dxa" w:w="1080"/>
          </w:tcPr>
          <w:p>
            <w:r>
              <w:rPr>
                <w:rFonts w:ascii="Calibri" w:hAnsi="Calibri"/>
                <w:sz w:val="22"/>
              </w:rPr>
              <w:t>$8.186</w:t>
            </w:r>
          </w:p>
        </w:tc>
        <w:tc>
          <w:tcPr>
            <w:tcW w:type="dxa" w:w="1080"/>
          </w:tcPr>
          <w:p>
            <w:r>
              <w:rPr>
                <w:rFonts w:ascii="Calibri" w:hAnsi="Calibri"/>
                <w:sz w:val="22"/>
              </w:rPr>
              <w:t>−2.5%</w:t>
            </w:r>
          </w:p>
        </w:tc>
        <w:tc>
          <w:tcPr>
            <w:tcW w:type="dxa" w:w="1080"/>
          </w:tcPr>
          <w:p>
            <w:r>
              <w:rPr>
                <w:rFonts w:ascii="Calibri" w:hAnsi="Calibri"/>
                <w:sz w:val="22"/>
              </w:rPr>
              <w:t>$8.43–$8.63 ex-CoolIT (12–15% growth)</w:t>
            </w:r>
          </w:p>
        </w:tc>
        <w:tc>
          <w:tcPr>
            <w:tcW w:type="dxa" w:w="1080"/>
          </w:tcPr>
          <w:p>
            <w:r>
              <w:rPr>
                <w:rFonts w:ascii="Calibri" w:hAnsi="Calibri"/>
                <w:sz w:val="22"/>
              </w:rPr>
              <w:t>Unchanged ex-CoolIT; CoolIT dilution ~$0.40 in H2</w:t>
            </w:r>
          </w:p>
        </w:tc>
        <w:tc>
          <w:tcPr>
            <w:tcW w:type="dxa" w:w="1080"/>
          </w:tcPr>
          <w:p>
            <w:r>
              <w:rPr>
                <w:rFonts w:ascii="Calibri" w:hAnsi="Calibri"/>
                <w:sz w:val="22"/>
              </w:rPr>
              <w:t>Unchanged underlying</w:t>
            </w:r>
          </w:p>
        </w:tc>
        <w:tc>
          <w:tcPr>
            <w:tcW w:type="dxa" w:w="1080"/>
          </w:tcPr>
          <w:p>
            <w:r>
              <w:rPr>
                <w:rFonts w:ascii="Calibri" w:hAnsi="Calibri"/>
                <w:sz w:val="22"/>
              </w:rPr>
              <w:t>~$0.34 below guidance midpoint ex-CoolIT; gap = CoolIT dilution</w:t>
            </w:r>
          </w:p>
        </w:tc>
      </w:tr>
      <w:tr>
        <w:tc>
          <w:tcPr>
            <w:tcW w:type="dxa" w:w="1080"/>
          </w:tcPr>
          <w:p>
            <w:r>
              <w:rPr>
                <w:rFonts w:ascii="Calibri" w:hAnsi="Calibri"/>
                <w:sz w:val="22"/>
              </w:rPr>
              <w:t>Net Sales — FY 2026</w:t>
            </w:r>
          </w:p>
        </w:tc>
        <w:tc>
          <w:tcPr>
            <w:tcW w:type="dxa" w:w="1080"/>
          </w:tcPr>
          <w:p>
            <w:r>
              <w:rPr>
                <w:rFonts w:ascii="Calibri" w:hAnsi="Calibri"/>
                <w:sz w:val="22"/>
              </w:rPr>
              <w:t>$17.651B</w:t>
            </w:r>
          </w:p>
        </w:tc>
        <w:tc>
          <w:tcPr>
            <w:tcW w:type="dxa" w:w="1080"/>
          </w:tcPr>
          <w:p>
            <w:r>
              <w:rPr>
                <w:rFonts w:ascii="Calibri" w:hAnsi="Calibri"/>
                <w:sz w:val="22"/>
              </w:rPr>
              <w:t>$17.807B</w:t>
            </w:r>
          </w:p>
        </w:tc>
        <w:tc>
          <w:tcPr>
            <w:tcW w:type="dxa" w:w="1080"/>
          </w:tcPr>
          <w:p>
            <w:r>
              <w:rPr>
                <w:rFonts w:ascii="Calibri" w:hAnsi="Calibri"/>
                <w:sz w:val="22"/>
              </w:rPr>
              <w:t>+0.9%</w:t>
            </w:r>
          </w:p>
        </w:tc>
        <w:tc>
          <w:tcPr>
            <w:tcW w:type="dxa" w:w="1080"/>
          </w:tcPr>
          <w:p>
            <w:r>
              <w:rPr>
                <w:rFonts w:ascii="Calibri" w:hAnsi="Calibri"/>
                <w:sz w:val="22"/>
              </w:rPr>
              <w:t>Organic growth 5–7% (H2 acceleration to 6–7%)</w:t>
            </w:r>
          </w:p>
        </w:tc>
        <w:tc>
          <w:tcPr>
            <w:tcW w:type="dxa" w:w="1080"/>
          </w:tcPr>
          <w:p>
            <w:r>
              <w:rPr>
                <w:rFonts w:ascii="Calibri" w:hAnsi="Calibri"/>
                <w:sz w:val="22"/>
              </w:rPr>
              <w:t>Unchanged; Ovivo/CoolIT add inorganic revenue</w:t>
            </w:r>
          </w:p>
        </w:tc>
        <w:tc>
          <w:tcPr>
            <w:tcW w:type="dxa" w:w="1080"/>
          </w:tcPr>
          <w:p>
            <w:r>
              <w:rPr>
                <w:rFonts w:ascii="Calibri" w:hAnsi="Calibri"/>
                <w:sz w:val="22"/>
              </w:rPr>
              <w:t>Unchanged</w:t>
            </w:r>
          </w:p>
        </w:tc>
        <w:tc>
          <w:tcPr>
            <w:tcW w:type="dxa" w:w="1080"/>
          </w:tcPr>
          <w:p>
            <w:r>
              <w:rPr>
                <w:rFonts w:ascii="Calibri" w:hAnsi="Calibri"/>
                <w:sz w:val="22"/>
              </w:rPr>
              <w:t>Tracking guidance; slight upward drift from M&amp;A consolidation</w:t>
            </w:r>
          </w:p>
        </w:tc>
      </w:tr>
    </w:tbl>
    <w:p>
      <w:r>
        <w:rPr>
          <w:rFonts w:ascii="Calibri" w:hAnsi="Calibri"/>
          <w:color w:val="525866"/>
          <w:sz w:val="22"/>
        </w:rPr>
        <w:t>The ~2.5% decline in FY 2026 EPS consensus since the Q1 print is almost entirely mechanical — the street incorporated the ~$0.40 CoolIT H2 dilution (financing costs + amortization) that management disclosed on April 28. Underlying ex-CoolIT EPS trajectory is unchanged and tracking the 12–15% guidance range. Revenue estimates have drifted slightly higher (+0.9% for FY), reflecting Ovivo and CoolIT inorganic contributions.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ECL has underperformed XLI since the Q1 print (+1.7% vs. +7.2% for XLI and +3.9% for SPY), with the gap driven almost entirely by </w:t>
      </w:r>
      <w:r>
        <w:rPr>
          <w:rFonts w:ascii="Calibri" w:hAnsi="Calibri"/>
          <w:b/>
          <w:color w:val="525866"/>
          <w:sz w:val="22"/>
        </w:rPr>
        <w:t>multiple compression rather than estimate cuts</w:t>
      </w:r>
      <w:r>
        <w:rPr>
          <w:rFonts w:ascii="Calibri" w:hAnsi="Calibri"/>
          <w:color w:val="525866"/>
          <w:sz w:val="22"/>
        </w:rPr>
        <w:t xml:space="preserve"> — NTM EV/EBITDA contracted from ~18.5x to ~17.7x over the past month, suggesting the market is waiting for proof of H2 acceleration before re-rating.</w:t>
      </w:r>
    </w:p>
    <w:p>
      <w:r>
        <w:rPr>
          <w:rFonts w:ascii="Calibri" w:hAnsi="Calibri"/>
          <w:color w:val="525866"/>
          <w:sz w:val="22"/>
        </w:rPr>
        <w:t>ECL closed at $266.96 on April 28 (Q1 earnings day), dipped to a trough of ~$245.73 by May 19 as the market digested the Q2 transition quarter framing and energy surcharge uncertainty, then recovered sharply through June and early July (peak ~$283.72 on July 6) before pulling back to ~$271 ahead of the print. Over the full period since Q1 earnings, ECL is up approximately +1.7%, lagging XLI (+7.2%) and SPY (+3.9%). The underperformance is multiple-driven: NTM EV/EBITDA has compressed from ~18.5x to ~17.7x over the past month, and from ~20.1x to ~17.7x over six months. Earnings estimates have been essentially flat, confirming that the stock’s relative weakness reflects valuation de-rating, not fundamental deterioration. The June 2 William Blair conference (energy surcharge raised guidance) triggered a visible re-acceleration in the stock from ~$256 to ~$284 over the following three weeks, suggesting the market is highly sensitive to surcharge execution signals. Source: Stock Price Data (Yahoo Finance).</w:t>
      </w:r>
    </w:p>
    <w:p>
      <w:r>
        <w:rPr>
          <w:rFonts w:ascii="Calibri" w:hAnsi="Calibri"/>
          <w:b/>
          <w:i/>
          <w:color w:val="525866"/>
          <w:sz w:val="22"/>
        </w:rPr>
        <w:t>Indexed Performance Since Q1 Earnings (April 28,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ECL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(Trough)</w:t>
            </w:r>
          </w:p>
        </w:tc>
        <w:tc>
          <w:tcPr>
            <w:tcW w:type="dxa" w:w="2160"/>
          </w:tcPr>
          <w:p>
            <w:r>
              <w:rPr>
                <w:rFonts w:ascii="Calibri" w:hAnsi="Calibri"/>
                <w:sz w:val="22"/>
              </w:rPr>
              <w:t>92.1</w:t>
            </w:r>
          </w:p>
        </w:tc>
        <w:tc>
          <w:tcPr>
            <w:tcW w:type="dxa" w:w="2160"/>
          </w:tcPr>
          <w:p>
            <w:r>
              <w:rPr>
                <w:rFonts w:ascii="Calibri" w:hAnsi="Calibri"/>
                <w:sz w:val="22"/>
              </w:rPr>
              <w:t>98.7</w:t>
            </w:r>
          </w:p>
        </w:tc>
        <w:tc>
          <w:tcPr>
            <w:tcW w:type="dxa" w:w="2160"/>
          </w:tcPr>
          <w:p>
            <w:r>
              <w:rPr>
                <w:rFonts w:ascii="Calibri" w:hAnsi="Calibri"/>
                <w:sz w:val="22"/>
              </w:rPr>
              <w:t>103.0</w:t>
            </w:r>
          </w:p>
        </w:tc>
      </w:tr>
      <w:tr>
        <w:tc>
          <w:tcPr>
            <w:tcW w:type="dxa" w:w="2160"/>
          </w:tcPr>
          <w:p>
            <w:r>
              <w:rPr>
                <w:rFonts w:ascii="Calibri" w:hAnsi="Calibri"/>
                <w:sz w:val="22"/>
              </w:rPr>
              <w:t>Jun 2 (William Blair ↑ guidance)</w:t>
            </w:r>
          </w:p>
        </w:tc>
        <w:tc>
          <w:tcPr>
            <w:tcW w:type="dxa" w:w="2160"/>
          </w:tcPr>
          <w:p>
            <w:r>
              <w:rPr>
                <w:rFonts w:ascii="Calibri" w:hAnsi="Calibri"/>
                <w:sz w:val="22"/>
              </w:rPr>
              <w:t>96.0</w:t>
            </w:r>
          </w:p>
        </w:tc>
        <w:tc>
          <w:tcPr>
            <w:tcW w:type="dxa" w:w="2160"/>
          </w:tcPr>
          <w:p>
            <w:r>
              <w:rPr>
                <w:rFonts w:ascii="Calibri" w:hAnsi="Calibri"/>
                <w:sz w:val="22"/>
              </w:rPr>
              <w:t>101.9</w:t>
            </w:r>
          </w:p>
        </w:tc>
        <w:tc>
          <w:tcPr>
            <w:tcW w:type="dxa" w:w="2160"/>
          </w:tcPr>
          <w:p>
            <w:r>
              <w:rPr>
                <w:rFonts w:ascii="Calibri" w:hAnsi="Calibri"/>
                <w:sz w:val="22"/>
              </w:rPr>
              <w:t>106.7</w:t>
            </w:r>
          </w:p>
        </w:tc>
      </w:tr>
      <w:tr>
        <w:tc>
          <w:tcPr>
            <w:tcW w:type="dxa" w:w="2160"/>
          </w:tcPr>
          <w:p>
            <w:r>
              <w:rPr>
                <w:rFonts w:ascii="Calibri" w:hAnsi="Calibri"/>
                <w:sz w:val="22"/>
              </w:rPr>
              <w:t>Jul 6 (Peak)</w:t>
            </w:r>
          </w:p>
        </w:tc>
        <w:tc>
          <w:tcPr>
            <w:tcW w:type="dxa" w:w="2160"/>
          </w:tcPr>
          <w:p>
            <w:r>
              <w:rPr>
                <w:rFonts w:ascii="Calibri" w:hAnsi="Calibri"/>
                <w:sz w:val="22"/>
              </w:rPr>
              <w:t>106.3</w:t>
            </w:r>
          </w:p>
        </w:tc>
        <w:tc>
          <w:tcPr>
            <w:tcW w:type="dxa" w:w="2160"/>
          </w:tcPr>
          <w:p>
            <w:r>
              <w:rPr>
                <w:rFonts w:ascii="Calibri" w:hAnsi="Calibri"/>
                <w:sz w:val="22"/>
              </w:rPr>
              <w:t>108.5</w:t>
            </w:r>
          </w:p>
        </w:tc>
        <w:tc>
          <w:tcPr>
            <w:tcW w:type="dxa" w:w="2160"/>
          </w:tcPr>
          <w:p>
            <w:r>
              <w:rPr>
                <w:rFonts w:ascii="Calibri" w:hAnsi="Calibri"/>
                <w:sz w:val="22"/>
              </w:rPr>
              <w:t>105.6</w:t>
            </w:r>
          </w:p>
        </w:tc>
      </w:tr>
      <w:tr>
        <w:tc>
          <w:tcPr>
            <w:tcW w:type="dxa" w:w="2160"/>
          </w:tcPr>
          <w:p>
            <w:r>
              <w:rPr>
                <w:rFonts w:ascii="Calibri" w:hAnsi="Calibri"/>
                <w:sz w:val="22"/>
              </w:rPr>
              <w:t>Jul 27 (Pre-Earnings)</w:t>
            </w:r>
          </w:p>
        </w:tc>
        <w:tc>
          <w:tcPr>
            <w:tcW w:type="dxa" w:w="2160"/>
          </w:tcPr>
          <w:p>
            <w:r>
              <w:rPr>
                <w:rFonts w:ascii="Calibri" w:hAnsi="Calibri"/>
                <w:sz w:val="22"/>
              </w:rPr>
              <w:t>101.7</w:t>
            </w:r>
          </w:p>
        </w:tc>
        <w:tc>
          <w:tcPr>
            <w:tcW w:type="dxa" w:w="2160"/>
          </w:tcPr>
          <w:p>
            <w:r>
              <w:rPr>
                <w:rFonts w:ascii="Calibri" w:hAnsi="Calibri"/>
                <w:sz w:val="22"/>
              </w:rPr>
              <w:t>107.2</w:t>
            </w:r>
          </w:p>
        </w:tc>
        <w:tc>
          <w:tcPr>
            <w:tcW w:type="dxa" w:w="2160"/>
          </w:tcPr>
          <w:p>
            <w:r>
              <w:rPr>
                <w:rFonts w:ascii="Calibri" w:hAnsi="Calibri"/>
                <w:sz w:val="22"/>
              </w:rPr>
              <w:t>103.9</w:t>
            </w:r>
          </w:p>
        </w:tc>
      </w:tr>
    </w:tbl>
    <w:p>
      <w:r>
        <w:rPr>
          <w:rFonts w:ascii="Calibri" w:hAnsi="Calibri"/>
          <w:color w:val="525866"/>
          <w:sz w:val="22"/>
        </w:rPr>
        <w:t>Note: Indexed to 100 at April 28, 2026 close. ECL: $266.96; XLI: $170.98; SPY: $711.69. Key event: William Blair Growth Stock Conference June 2, 2026 (Q2 EPS guidance floor raised to 9%).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 mid-quarter guidance raise, which de-risked the Q2 print and shifted focus to H2 execution. The CoolIT acquisition tracking at ~100% growth (vs. 30%+ expected) is the most underappreciated positive catalyst.</w:t>
      </w:r>
    </w:p>
    <w:p>
      <w:pPr>
        <w:pStyle w:val="ListBullet"/>
        <w:ind w:left="360" w:hanging="360"/>
      </w:pPr>
      <w:r>
        <w:rPr>
          <w:rFonts w:ascii="Calibri" w:hAnsi="Calibri"/>
          <w:b/>
          <w:color w:val="525866"/>
          <w:sz w:val="22"/>
        </w:rPr>
        <w:t xml:space="preserve">June 2, 2026 — William Blair Growth Stock Conference (Q2 Guidance Raise): </w:t>
      </w:r>
      <w:r>
        <w:rPr>
          <w:rFonts w:ascii="Calibri" w:hAnsi="Calibri"/>
          <w:color w:val="525866"/>
          <w:sz w:val="22"/>
        </w:rPr>
        <w:t xml:space="preserve">CFO Scott Kirkland raised the Q2 2026 adjusted EPS growth guidance floor from 7% to 9% (new range: 9–12%), citing strong energy surcharge execution with &gt;50% of Q2 complete. Also set a formal organic sales growth floor of “at least 4%” for Q2 and reaffirmed H2 organic sales growth of 6–7% with organic gross margin expansion of 75 bps. </w:t>
      </w:r>
      <w:r>
        <w:rPr>
          <w:rFonts w:ascii="Calibri" w:hAnsi="Calibri"/>
          <w:color w:val="525866"/>
          <w:sz w:val="22"/>
        </w:rPr>
        <w:t>Implication: Significantly de-risks the Q2 print and validates the surcharge execution thesis; the key question is whether the company can beat the raised floor.</w:t>
      </w:r>
    </w:p>
    <w:p>
      <w:pPr>
        <w:pStyle w:val="ListBullet"/>
        <w:ind w:left="360" w:hanging="360"/>
      </w:pPr>
      <w:r>
        <w:rPr>
          <w:rFonts w:ascii="Calibri" w:hAnsi="Calibri"/>
          <w:b/>
          <w:color w:val="525866"/>
          <w:sz w:val="22"/>
        </w:rPr>
        <w:t xml:space="preserve">April 28, 2026 — Q1 2026 Earnings (Energy Surcharge Announced): </w:t>
      </w:r>
      <w:r>
        <w:rPr>
          <w:rFonts w:ascii="Calibri" w:hAnsi="Calibri"/>
          <w:color w:val="525866"/>
          <w:sz w:val="22"/>
        </w:rPr>
        <w:t xml:space="preserve">Ecolab implemented an energy surcharge effective April 1 across all customers, businesses, and countries to offset ~9% commodity cost inflation expected in Q2 and through year-end. Management framed Q2 as a “short transition period” with EPS growth a few percentage points below the 12–15% target. Full-year guidance maintained at 12–15% EPS growth ex-CoolIT. </w:t>
      </w:r>
      <w:r>
        <w:rPr>
          <w:rFonts w:ascii="Calibri" w:hAnsi="Calibri"/>
          <w:color w:val="525866"/>
          <w:sz w:val="22"/>
        </w:rPr>
        <w:t>Implication: The surcharge is the central narrative for Q2 — execution speed and customer retention are the key reads.</w:t>
      </w:r>
    </w:p>
    <w:p>
      <w:pPr>
        <w:pStyle w:val="ListBullet"/>
        <w:ind w:left="360" w:hanging="360"/>
      </w:pPr>
      <w:r>
        <w:rPr>
          <w:rFonts w:ascii="Calibri" w:hAnsi="Calibri"/>
          <w:b/>
          <w:color w:val="525866"/>
          <w:sz w:val="22"/>
        </w:rPr>
        <w:t xml:space="preserve">April 28, 2026 — CoolIT Q1 Sales Tracking ~100% Growth: </w:t>
      </w:r>
      <w:r>
        <w:rPr>
          <w:rFonts w:ascii="Calibri" w:hAnsi="Calibri"/>
          <w:color w:val="525866"/>
          <w:sz w:val="22"/>
        </w:rPr>
        <w:t xml:space="preserve">CEO Christophe Beck disclosed that CoolIT (pending acquisition) grew “close to the triple-digit range” in Q1 2026, well ahead of the 30%+ CAGR discussed at acquisition announcement. CFO confirmed at William Blair that CoolIT “basically grew 100%.” Combined with Ovivo, the two acquisitions are expected to add ~200 bps to top-line growth on a pro forma annualized basis. </w:t>
      </w:r>
      <w:r>
        <w:rPr>
          <w:rFonts w:ascii="Calibri" w:hAnsi="Calibri"/>
          <w:color w:val="525866"/>
          <w:sz w:val="22"/>
        </w:rPr>
        <w:t>Implication: CoolIT’s outperformance provides a clear bridge to the 5–7% long-term organic growth target and is a significant positive read-through for Global High-Tech demand.</w:t>
      </w:r>
    </w:p>
    <w:p>
      <w:pPr>
        <w:pStyle w:val="ListBullet"/>
        <w:ind w:left="360" w:hanging="360"/>
      </w:pPr>
      <w:r>
        <w:rPr>
          <w:rFonts w:ascii="Calibri" w:hAnsi="Calibri"/>
          <w:b/>
          <w:color w:val="525866"/>
          <w:sz w:val="22"/>
        </w:rPr>
        <w:t xml:space="preserve">May 11, 2026 — Bryce Mewhorter Named Corporate Controller / Principal Accounting Officer (8-K): </w:t>
      </w:r>
      <w:r>
        <w:rPr>
          <w:rFonts w:ascii="Calibri" w:hAnsi="Calibri"/>
          <w:color w:val="525866"/>
          <w:sz w:val="22"/>
        </w:rPr>
        <w:t xml:space="preserve">Routine leadership appointment; no material business impact. </w:t>
      </w:r>
      <w:r>
        <w:rPr>
          <w:rFonts w:ascii="Calibri" w:hAnsi="Calibri"/>
          <w:color w:val="525866"/>
          <w:sz w:val="22"/>
        </w:rPr>
        <w:t>Implication: No read-through for Q2 results.</w:t>
      </w:r>
    </w:p>
    <w:p>
      <w:pPr>
        <w:pStyle w:val="ListBullet"/>
        <w:ind w:left="360" w:hanging="360"/>
      </w:pPr>
      <w:r>
        <w:rPr>
          <w:rFonts w:ascii="Calibri" w:hAnsi="Calibri"/>
          <w:b/>
          <w:color w:val="525866"/>
          <w:sz w:val="22"/>
        </w:rPr>
        <w:t xml:space="preserve">June 17, 2026 — Q2 2026 Earnings Call Scheduled for July 28, 2026: </w:t>
      </w:r>
      <w:r>
        <w:rPr>
          <w:rFonts w:ascii="Calibri" w:hAnsi="Calibri"/>
          <w:color w:val="525866"/>
          <w:sz w:val="22"/>
        </w:rPr>
        <w:t xml:space="preserve">Ecolab confirmed the earnings webcast date. </w:t>
      </w:r>
      <w:r>
        <w:rPr>
          <w:rFonts w:ascii="Calibri" w:hAnsi="Calibri"/>
          <w:color w:val="525866"/>
          <w:sz w:val="22"/>
        </w:rPr>
        <w:t>Implication: No new information; confirms timeline.</w:t>
      </w:r>
    </w:p>
    <w:p>
      <w:pPr>
        <w:pStyle w:val="ListBullet"/>
        <w:ind w:left="360" w:hanging="360"/>
      </w:pPr>
      <w:r>
        <w:rPr>
          <w:rFonts w:ascii="Calibri" w:hAnsi="Calibri"/>
          <w:b/>
          <w:color w:val="525866"/>
          <w:sz w:val="22"/>
        </w:rPr>
        <w:t xml:space="preserve">Ongoing — AI Data Center Build-Out (Secular Tailwind): </w:t>
      </w:r>
      <w:r>
        <w:rPr>
          <w:rFonts w:ascii="Calibri" w:hAnsi="Calibri"/>
          <w:color w:val="525866"/>
          <w:sz w:val="22"/>
        </w:rPr>
        <w:t xml:space="preserve">AI compute expected to roughly double over the next several years, driving new fabs and data centers. Global High-Tech (approaching $1.5B post-Ovivo and CoolIT) and Ecolab Digital (growing &gt;20%) are the primary beneficiaries. RPM International (reporting July 22) confirmed data centers remain a top growth category, growing above average. </w:t>
      </w:r>
      <w:r>
        <w:rPr>
          <w:rFonts w:ascii="Calibri" w:hAnsi="Calibri"/>
          <w:color w:val="525866"/>
          <w:sz w:val="22"/>
        </w:rPr>
        <w:t>Implication: Validates ECL’s Global High-Tech growth thesis; watch for any commentary on data center water demand or fab expansion pipeline.</w:t>
      </w:r>
    </w:p>
    <w:p>
      <w:pPr>
        <w:pStyle w:val="ListBullet"/>
        <w:ind w:left="360" w:hanging="360"/>
      </w:pPr>
      <w:r>
        <w:rPr>
          <w:rFonts w:ascii="Calibri" w:hAnsi="Calibri"/>
          <w:b/>
          <w:color w:val="525866"/>
          <w:sz w:val="22"/>
        </w:rPr>
        <w:t xml:space="preserve">Ongoing — Commodity / Energy Cost Inflation (~9% in Q2): </w:t>
      </w:r>
      <w:r>
        <w:rPr>
          <w:rFonts w:ascii="Calibri" w:hAnsi="Calibri"/>
          <w:color w:val="525866"/>
          <w:sz w:val="22"/>
        </w:rPr>
        <w:t xml:space="preserve">Management expects ~9% commodity cost inflation in Q2 and through year-end, driven by energy costs. RPM International flagged similar inflationary pressures (5–6% raw material inflation in its Q1 FY27, escalating to 6–8% in Q2 FY27), partly driven by Middle East events. </w:t>
      </w:r>
      <w:r>
        <w:rPr>
          <w:rFonts w:ascii="Calibri" w:hAnsi="Calibri"/>
          <w:color w:val="525866"/>
          <w:sz w:val="22"/>
        </w:rPr>
        <w:t>Implication: Confirms the inflationary environment ECL is navigating; the key question is whether ECL’s surcharge fully offsets the dollar impact by Q2 exit as guided.</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constructive for ECL’s Q2 setup: RPM International’s July 22 earnings (reporting its fiscal Q4 ending May 31, 2026, with forward commentary on its fiscal Q1 starting June 1) confirm </w:t>
      </w:r>
      <w:r>
        <w:rPr>
          <w:rFonts w:ascii="Calibri" w:hAnsi="Calibri"/>
          <w:b/>
          <w:color w:val="525866"/>
          <w:sz w:val="22"/>
        </w:rPr>
        <w:t>continued strength in data centers, infrastructure, and industrial end markets</w:t>
      </w:r>
      <w:r>
        <w:rPr>
          <w:rFonts w:ascii="Calibri" w:hAnsi="Calibri"/>
          <w:color w:val="525866"/>
          <w:sz w:val="22"/>
        </w:rPr>
        <w:t>, while flagging ongoing commodity inflation (5–8%) that validates ECL’s surcharge rationale. Note: Only commentary about ECL’s current reporting quarter (Q2 2026, ending June 30) or post-ECL Q1 earnings (after April 28, 2026) is included below. Prior-quarter peer results without forward commentary are excluded.</w:t>
      </w:r>
    </w:p>
    <w:p>
      <w:r>
        <w:rPr>
          <w:rFonts w:ascii="Calibri" w:hAnsi="Calibri"/>
          <w:i/>
          <w:color w:val="525866"/>
          <w:sz w:val="22"/>
        </w:rPr>
        <w:t xml:space="preserve">Screening criteria applied: </w:t>
      </w:r>
      <w:r>
        <w:rPr>
          <w:rFonts w:ascii="Calibri" w:hAnsi="Calibri"/>
          <w:i/>
          <w:color w:val="525866"/>
          <w:sz w:val="22"/>
        </w:rPr>
        <w:t>Included only if (1) reported or commented after April 28, 2026 (post-ECL Q1 earnings), AND (2) commentary addresses conditions during or after calendar Q2 2026 (April–June 2026) or provides a forward outlook relevant to ECL’s end markets. Excluded: any peer commentary solely about that peer’s own prior-quarter results with no forward read-through.</w:t>
      </w:r>
    </w:p>
    <w:p>
      <w:pPr>
        <w:pStyle w:val="Heading3"/>
      </w:pPr>
      <w:r>
        <w:rPr>
          <w:rFonts w:ascii="Calibri" w:hAnsi="Calibri"/>
          <w:b/>
          <w:color w:val="3B4259"/>
          <w:sz w:val="24"/>
        </w:rPr>
        <w:t>RPM International (RPM) — Q4 FY2026 Earnings (July 22, 2026)</w:t>
      </w:r>
    </w:p>
    <w:p>
      <w:r>
        <w:rPr>
          <w:rFonts w:ascii="Calibri" w:hAnsi="Calibri"/>
          <w:color w:val="525866"/>
          <w:sz w:val="22"/>
        </w:rPr>
        <w:t>RPM’s fiscal Q4 ended May 31, 2026; its forward commentary covers fiscal Q1 FY2027 (June–August 2026) and full-year FY2027, which directly overlaps with ECL’s Q2 and H2 2026 reporting periods. This is the most relevant peer read-through available.</w:t>
      </w:r>
    </w:p>
    <w:p>
      <w:pPr>
        <w:pStyle w:val="ListBullet"/>
        <w:ind w:left="360" w:hanging="360"/>
      </w:pPr>
      <w:r>
        <w:rPr>
          <w:rFonts w:ascii="Calibri" w:hAnsi="Calibri"/>
          <w:b/>
          <w:color w:val="525866"/>
          <w:sz w:val="22"/>
        </w:rPr>
        <w:t xml:space="preserve">Data Centers — Continued Growth, “Even Keel”: </w:t>
      </w:r>
      <w:r>
        <w:rPr>
          <w:rFonts w:ascii="Calibri" w:hAnsi="Calibri"/>
          <w:color w:val="525866"/>
          <w:sz w:val="22"/>
        </w:rPr>
        <w:t xml:space="preserve">RPM confirmed data centers remain a top growth category, representing ~1–2% of its business and growing above average. Management described data center activity as “even keel” — neither accelerating nor decelerating from already-strong levels. Euclid Chemical (concrete admixtures), FRP grating, and fireproof coatings for structural steel are the primary data center exposures. </w:t>
      </w:r>
      <w:r>
        <w:rPr>
          <w:rFonts w:ascii="Calibri" w:hAnsi="Calibri"/>
          <w:b/>
          <w:color w:val="525866"/>
          <w:sz w:val="22"/>
        </w:rPr>
        <w:t xml:space="preserve">ECL Read-Through: </w:t>
      </w:r>
      <w:r>
        <w:rPr>
          <w:rFonts w:ascii="Calibri" w:hAnsi="Calibri"/>
          <w:color w:val="525866"/>
          <w:sz w:val="22"/>
        </w:rPr>
        <w:t>Supports ECL’s Global High-Tech and CoolIT growth thesis. Data center construction activity remains robust, which drives demand for ECL’s water treatment, cooling, and hygiene solutions in semiconductor fabs and data centers.</w:t>
      </w:r>
    </w:p>
    <w:p>
      <w:pPr>
        <w:pStyle w:val="ListBullet"/>
        <w:ind w:left="360" w:hanging="360"/>
      </w:pPr>
      <w:r>
        <w:rPr>
          <w:rFonts w:ascii="Calibri" w:hAnsi="Calibri"/>
          <w:b/>
          <w:color w:val="525866"/>
          <w:sz w:val="22"/>
        </w:rPr>
        <w:t xml:space="preserve">Infrastructure &amp; Industrial Demand — Solid, Backlogs Strong: </w:t>
      </w:r>
      <w:r>
        <w:rPr>
          <w:rFonts w:ascii="Calibri" w:hAnsi="Calibri"/>
          <w:color w:val="525866"/>
          <w:sz w:val="22"/>
        </w:rPr>
        <w:t xml:space="preserve">RPM reported strong backlogs across its Construction Products Group (CPG) and Performance Coatings Group (PCG), with infrastructure projects (energy build-out, hospital systems, schools) continuing to drive volume. Emerging markets delivered double-digit growth. Q1 FY2027 (June–August) sales expected to grow mid-single digits across all segments. </w:t>
      </w:r>
      <w:r>
        <w:rPr>
          <w:rFonts w:ascii="Calibri" w:hAnsi="Calibri"/>
          <w:b/>
          <w:color w:val="525866"/>
          <w:sz w:val="22"/>
        </w:rPr>
        <w:t xml:space="preserve">ECL Read-Through: </w:t>
      </w:r>
      <w:r>
        <w:rPr>
          <w:rFonts w:ascii="Calibri" w:hAnsi="Calibri"/>
          <w:color w:val="525866"/>
          <w:sz w:val="22"/>
        </w:rPr>
        <w:t>Positive for ECL’s Food &amp; Beverage, Institutional, and Global Water segments, which serve similar industrial and commercial end markets. Solid industrial demand reduces the risk of volume disappointment in ECL’s core businesses.</w:t>
      </w:r>
    </w:p>
    <w:p>
      <w:pPr>
        <w:pStyle w:val="ListBullet"/>
        <w:ind w:left="360" w:hanging="360"/>
      </w:pPr>
      <w:r>
        <w:rPr>
          <w:rFonts w:ascii="Calibri" w:hAnsi="Calibri"/>
          <w:b/>
          <w:color w:val="525866"/>
          <w:sz w:val="22"/>
        </w:rPr>
        <w:t xml:space="preserve">Consumer / DIY Markets — Stabilizing but No Robust Rebound: </w:t>
      </w:r>
      <w:r>
        <w:rPr>
          <w:rFonts w:ascii="Calibri" w:hAnsi="Calibri"/>
          <w:color w:val="525866"/>
          <w:sz w:val="22"/>
        </w:rPr>
        <w:t xml:space="preserve">RPM noted “spotty consumer pickup” in summer months (June/July) and described the consumer segment as “hitting bottom” after two years of single-digit negative volume declines. Housing turnover remains at 30–40-year lows. No signs of a robust rebound. </w:t>
      </w:r>
      <w:r>
        <w:rPr>
          <w:rFonts w:ascii="Calibri" w:hAnsi="Calibri"/>
          <w:b/>
          <w:color w:val="525866"/>
          <w:sz w:val="22"/>
        </w:rPr>
        <w:t xml:space="preserve">ECL Read-Through: </w:t>
      </w:r>
      <w:r>
        <w:rPr>
          <w:rFonts w:ascii="Calibri" w:hAnsi="Calibri"/>
          <w:color w:val="525866"/>
          <w:sz w:val="22"/>
        </w:rPr>
        <w:t>Modest negative read for ECL’s Institutional segment (hotels, restaurants), which benefits from consumer spending and travel. However, ECL’s Institutional business has been outperforming its end markets, so this is a watch item rather than a direct headwind.</w:t>
      </w:r>
    </w:p>
    <w:p>
      <w:pPr>
        <w:pStyle w:val="ListBullet"/>
        <w:ind w:left="360" w:hanging="360"/>
      </w:pPr>
      <w:r>
        <w:rPr>
          <w:rFonts w:ascii="Calibri" w:hAnsi="Calibri"/>
          <w:b/>
          <w:color w:val="525866"/>
          <w:sz w:val="22"/>
        </w:rPr>
        <w:t xml:space="preserve">Commodity / Raw Material Inflation — 5–6% in Q1 FY2027, Escalating to 6–8% in Q2 FY2027: </w:t>
      </w:r>
      <w:r>
        <w:rPr>
          <w:rFonts w:ascii="Calibri" w:hAnsi="Calibri"/>
          <w:color w:val="525866"/>
          <w:sz w:val="22"/>
        </w:rPr>
        <w:t xml:space="preserve">RPM guided to raw material inflation of 5–6% in its fiscal Q1 (June–August 2026), escalating to 6–8% in fiscal Q2 (September–November 2026), driven by Middle East events (Iran conflict impact on energy/petrochemical feedstocks). Spot prices have declined from peak, suggesting moderating inflation in H2 FY2027. RPM is implementing price increases to offset, with price-cost expected to be “somewhat negative in the first half” of FY2027 before becoming more neutral in H2. </w:t>
      </w:r>
      <w:r>
        <w:rPr>
          <w:rFonts w:ascii="Calibri" w:hAnsi="Calibri"/>
          <w:b/>
          <w:color w:val="525866"/>
          <w:sz w:val="22"/>
        </w:rPr>
        <w:t xml:space="preserve">ECL Read-Through: </w:t>
      </w:r>
      <w:r>
        <w:rPr>
          <w:rFonts w:ascii="Calibri" w:hAnsi="Calibri"/>
          <w:color w:val="525866"/>
          <w:sz w:val="22"/>
        </w:rPr>
        <w:t>Validates ECL’s ~9% commodity cost inflation assumption for Q2 and through year-end. RPM’s experience of price-cost being negative in H1 before recovering in H2 mirrors ECL’s Q2 transition quarter narrative. The fact that spot prices have declined from peak is a potential positive signal for ECL’s H2 gross margin expansion thesis.</w:t>
      </w:r>
    </w:p>
    <w:p>
      <w:pPr>
        <w:pStyle w:val="ListBullet"/>
        <w:ind w:left="360" w:hanging="360"/>
      </w:pPr>
      <w:r>
        <w:rPr>
          <w:rFonts w:ascii="Calibri" w:hAnsi="Calibri"/>
          <w:b/>
          <w:color w:val="525866"/>
          <w:sz w:val="22"/>
        </w:rPr>
        <w:t xml:space="preserve">Pricing Power — Surcharges and Price Increases Being Implemented: </w:t>
      </w:r>
      <w:r>
        <w:rPr>
          <w:rFonts w:ascii="Calibri" w:hAnsi="Calibri"/>
          <w:color w:val="525866"/>
          <w:sz w:val="22"/>
        </w:rPr>
        <w:t xml:space="preserve">RPM announced further price increases over the summer (effective end of July/August), with pricing expected to be “up by a similar dollar level” to raw material inflation in Q1 FY2027. RPM noted it “generally retains 100% of the price it puts forward” given brand strength. </w:t>
      </w:r>
      <w:r>
        <w:rPr>
          <w:rFonts w:ascii="Calibri" w:hAnsi="Calibri"/>
          <w:b/>
          <w:color w:val="525866"/>
          <w:sz w:val="22"/>
        </w:rPr>
        <w:t xml:space="preserve">ECL Read-Through: </w:t>
      </w:r>
      <w:r>
        <w:rPr>
          <w:rFonts w:ascii="Calibri" w:hAnsi="Calibri"/>
          <w:color w:val="525866"/>
          <w:sz w:val="22"/>
        </w:rPr>
        <w:t>Confirms that specialty chemical/industrial services companies with strong brands are successfully passing through price increases in the current environment. Supports ECL’s energy surcharge execution thesis and the expectation that pricing will accelerate to ~4.4% in Q2 (vs. 3% in Q1).</w:t>
      </w:r>
    </w:p>
    <w:p>
      <w:pPr>
        <w:pStyle w:val="ListBullet"/>
        <w:ind w:left="360" w:hanging="360"/>
      </w:pPr>
      <w:r>
        <w:rPr>
          <w:rFonts w:ascii="Calibri" w:hAnsi="Calibri"/>
          <w:b/>
          <w:color w:val="525866"/>
          <w:sz w:val="22"/>
        </w:rPr>
        <w:t xml:space="preserve">FY2027 Outlook — “Duke It Out, Volatile Year”: </w:t>
      </w:r>
      <w:r>
        <w:rPr>
          <w:rFonts w:ascii="Calibri" w:hAnsi="Calibri"/>
          <w:color w:val="525866"/>
          <w:sz w:val="22"/>
        </w:rPr>
        <w:t xml:space="preserve">RPM guided to FY2027 sales growth of 3–7% and adjusted EBITDA growth of 5–10%, describing it as “another volatile year” due to geopolitical and economic uncertainty. Mid-single-digit revenue growth with double-digit earnings growth expected in a period of stability. </w:t>
      </w:r>
      <w:r>
        <w:rPr>
          <w:rFonts w:ascii="Calibri" w:hAnsi="Calibri"/>
          <w:b/>
          <w:color w:val="525866"/>
          <w:sz w:val="22"/>
        </w:rPr>
        <w:t xml:space="preserve">ECL Read-Through: </w:t>
      </w:r>
      <w:r>
        <w:rPr>
          <w:rFonts w:ascii="Calibri" w:hAnsi="Calibri"/>
          <w:color w:val="525866"/>
          <w:sz w:val="22"/>
        </w:rPr>
        <w:t>Broadly consistent with ECL’s own 2027 ambitions (5–7% top-line, 12–15% EPS growth). The “volatile” framing is a reminder that macro uncertainty remains a risk to ECL’s H2 acceleration thesis.</w:t>
      </w:r>
    </w:p>
    <w:p>
      <w:pPr>
        <w:pStyle w:val="Heading3"/>
      </w:pPr>
      <w:r>
        <w:rPr>
          <w:rFonts w:ascii="Calibri" w:hAnsi="Calibri"/>
          <w:b/>
          <w:color w:val="3B4259"/>
          <w:sz w:val="24"/>
        </w:rPr>
        <w:t>Ecolab Management — William Blair Growth Stock Conference (June 2, 2026)</w:t>
      </w:r>
    </w:p>
    <w:p>
      <w:r>
        <w:rPr>
          <w:rFonts w:ascii="Calibri" w:hAnsi="Calibri"/>
          <w:color w:val="525866"/>
          <w:sz w:val="22"/>
        </w:rPr>
        <w:t>While not a peer, ECL’s own mid-quarter commentary at William Blair is the most direct current-quarter read-through available and is included here for completeness as it post-dates Q1 earnings and addresses Q2 conditions directly.</w:t>
      </w:r>
    </w:p>
    <w:p>
      <w:pPr>
        <w:pStyle w:val="ListBullet"/>
        <w:ind w:left="360" w:hanging="360"/>
      </w:pPr>
      <w:r>
        <w:rPr>
          <w:rFonts w:ascii="Calibri" w:hAnsi="Calibri"/>
          <w:b/>
          <w:color w:val="525866"/>
          <w:sz w:val="22"/>
        </w:rPr>
        <w:t xml:space="preserve">Q2 Surcharge Execution Tracking Well: </w:t>
      </w:r>
      <w:r>
        <w:rPr>
          <w:rFonts w:ascii="Calibri" w:hAnsi="Calibri"/>
          <w:color w:val="525866"/>
          <w:sz w:val="22"/>
        </w:rPr>
        <w:t xml:space="preserve">CFO Kirkland confirmed the energy surcharge launched in April is “going very well” and within the expected range, with pricing continuing to strengthen. The company has “compressed the cycle” — recovering the full dollar impact of commodity cost inflation in ~1 quarter vs. the historical 4-quarter timeline. </w:t>
      </w:r>
      <w:r>
        <w:rPr>
          <w:rFonts w:ascii="Calibri" w:hAnsi="Calibri"/>
          <w:b/>
          <w:color w:val="525866"/>
          <w:sz w:val="22"/>
        </w:rPr>
        <w:t xml:space="preserve">Implication: </w:t>
      </w:r>
      <w:r>
        <w:rPr>
          <w:rFonts w:ascii="Calibri" w:hAnsi="Calibri"/>
          <w:color w:val="525866"/>
          <w:sz w:val="22"/>
        </w:rPr>
        <w:t>The surcharge is the single most important Q2 variable; management’s mid-quarter confidence is the strongest available signal that Q2 will meet or beat the raised guidance range.</w:t>
      </w:r>
    </w:p>
    <w:p>
      <w:pPr>
        <w:pStyle w:val="ListBullet"/>
        <w:ind w:left="360" w:hanging="360"/>
      </w:pPr>
      <w:r>
        <w:rPr>
          <w:rFonts w:ascii="Calibri" w:hAnsi="Calibri"/>
          <w:b/>
          <w:color w:val="525866"/>
          <w:sz w:val="22"/>
        </w:rPr>
        <w:t xml:space="preserve">Organic Sales Floor of “At Least 4%” Set: </w:t>
      </w:r>
      <w:r>
        <w:rPr>
          <w:rFonts w:ascii="Calibri" w:hAnsi="Calibri"/>
          <w:color w:val="525866"/>
          <w:sz w:val="22"/>
        </w:rPr>
        <w:t xml:space="preserve">CFO stated “the minimum on sales is that 4%,” providing a formal floor for Q2 organic growth. Stable organic gross margins ex-Ovivo expected. </w:t>
      </w:r>
      <w:r>
        <w:rPr>
          <w:rFonts w:ascii="Calibri" w:hAnsi="Calibri"/>
          <w:b/>
          <w:color w:val="525866"/>
          <w:sz w:val="22"/>
        </w:rPr>
        <w:t xml:space="preserve">Implication: </w:t>
      </w:r>
      <w:r>
        <w:rPr>
          <w:rFonts w:ascii="Calibri" w:hAnsi="Calibri"/>
          <w:color w:val="525866"/>
          <w:sz w:val="22"/>
        </w:rPr>
        <w:t>Consensus organic growth of ~4.8% is above the floor, suggesting the street is pricing in modest upside to the minimum.</w:t>
      </w:r>
    </w:p>
    <w:p>
      <w:pPr>
        <w:pStyle w:val="ListBullet"/>
        <w:ind w:left="360" w:hanging="360"/>
      </w:pPr>
      <w:r>
        <w:rPr>
          <w:rFonts w:ascii="Calibri" w:hAnsi="Calibri"/>
          <w:b/>
          <w:color w:val="525866"/>
          <w:sz w:val="22"/>
        </w:rPr>
        <w:t xml:space="preserve">H2 Acceleration Reaffirmed with Specificity: </w:t>
      </w:r>
      <w:r>
        <w:rPr>
          <w:rFonts w:ascii="Calibri" w:hAnsi="Calibri"/>
          <w:color w:val="525866"/>
          <w:sz w:val="22"/>
        </w:rPr>
        <w:t xml:space="preserve">H2 organic sales growth of 6–7%, organic gross margin expansion of 75 bps, and H2 adj. EPS growth of 14–15% ex-CoolIT (4–5% including CoolIT dilution). </w:t>
      </w:r>
      <w:r>
        <w:rPr>
          <w:rFonts w:ascii="Calibri" w:hAnsi="Calibri"/>
          <w:b/>
          <w:color w:val="525866"/>
          <w:sz w:val="22"/>
        </w:rPr>
        <w:t xml:space="preserve">Implication: </w:t>
      </w:r>
      <w:r>
        <w:rPr>
          <w:rFonts w:ascii="Calibri" w:hAnsi="Calibri"/>
          <w:color w:val="525866"/>
          <w:sz w:val="22"/>
        </w:rPr>
        <w:t>The H2 guide is ambitious and requires both pricing acceleration and volume recovery. Q2 gross margin stabilization is the critical proof point.</w:t>
      </w:r>
    </w:p>
    <w:p>
      <w:r>
        <w:rPr>
          <w:rFonts w:ascii="Calibri" w:hAnsi="Calibri"/>
          <w:b/>
          <w:i/>
          <w:color w:val="525866"/>
          <w:sz w:val="22"/>
        </w:rPr>
        <w:t>Peers Not Included (Screening Rationale):</w:t>
      </w:r>
    </w:p>
    <w:p>
      <w:pPr>
        <w:pStyle w:val="ListBullet"/>
        <w:ind w:left="360" w:hanging="360"/>
      </w:pPr>
      <w:r>
        <w:rPr>
          <w:rFonts w:ascii="Calibri" w:hAnsi="Calibri"/>
          <w:b/>
          <w:color w:val="525866"/>
          <w:sz w:val="22"/>
        </w:rPr>
        <w:t>Air Products (APD) — June 30, 2026 8-K:</w:t>
      </w:r>
      <w:r>
        <w:rPr>
          <w:rFonts w:ascii="Calibri" w:hAnsi="Calibri"/>
          <w:i/>
          <w:color w:val="525866"/>
          <w:sz w:val="22"/>
        </w:rPr>
        <w:t xml:space="preserve"> APD announced it will not proceed with the Louisiana Clean Energy Complex and will record up to $2.9B in pre-tax charges. This is specific to APD’s clean energy portfolio strategy and has no material read-through to ECL’s end markets, pricing, or commodity costs. Excluded.</w:t>
      </w:r>
    </w:p>
    <w:p>
      <w:pPr>
        <w:pStyle w:val="ListBullet"/>
        <w:ind w:left="360" w:hanging="360"/>
      </w:pPr>
      <w:r>
        <w:rPr>
          <w:rFonts w:ascii="Calibri" w:hAnsi="Calibri"/>
          <w:b/>
          <w:color w:val="525866"/>
          <w:sz w:val="22"/>
        </w:rPr>
        <w:t>Linde (LIN), Sherwin-Williams (SHW), PPG Industries (PPG):</w:t>
      </w:r>
      <w:r>
        <w:rPr>
          <w:rFonts w:ascii="Calibri" w:hAnsi="Calibri"/>
          <w:i/>
          <w:color w:val="525866"/>
          <w:sz w:val="22"/>
        </w:rPr>
        <w:t xml:space="preserve"> All three announced Q2 2026 earnings dates (July 28–30) but had not yet reported as of July 27, 2026. No current-quarter commentary available to include. Will be relevant post-print.</w:t>
      </w:r>
    </w:p>
    <w:p>
      <w:pPr>
        <w:pStyle w:val="ListBullet"/>
        <w:ind w:left="360" w:hanging="360"/>
      </w:pPr>
      <w:r>
        <w:rPr>
          <w:rFonts w:ascii="Calibri" w:hAnsi="Calibri"/>
          <w:b/>
          <w:color w:val="525866"/>
          <w:sz w:val="22"/>
        </w:rPr>
        <w:t>IFF, DD, EMN, AXTA, ALB, LYB and other specialty chemicals peers:</w:t>
      </w:r>
      <w:r>
        <w:rPr>
          <w:rFonts w:ascii="Calibri" w:hAnsi="Calibri"/>
          <w:i/>
          <w:color w:val="525866"/>
          <w:sz w:val="22"/>
        </w:rPr>
        <w:t xml:space="preserve"> No earnings calls or material conferences with current-quarter commentary identified within the 60-day window that provide a direct ECL read-through. Excluded.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insider signal is </w:t>
      </w:r>
      <w:r>
        <w:rPr>
          <w:rFonts w:ascii="Calibri" w:hAnsi="Calibri"/>
          <w:b/>
          <w:color w:val="525866"/>
          <w:sz w:val="22"/>
        </w:rPr>
        <w:t>modestly constructive</w:t>
      </w:r>
      <w:r>
        <w:rPr>
          <w:rFonts w:ascii="Calibri" w:hAnsi="Calibri"/>
          <w:color w:val="525866"/>
          <w:sz w:val="22"/>
        </w:rPr>
        <w:t xml:space="preserve"> — two independent directors made open-market purchases in May–June (including a 7,750-share buy by Director Michel Doukeris), and the EVP of Global Supply Chain also bought 1,000 shares. The one open-market sale (Co-COO Darrell Brown, 10,000 shares) is notable in size but appears discretionary with no 10b5-1 plan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Michel D. Doukeris</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7,750 shares</w:t>
            </w:r>
          </w:p>
        </w:tc>
        <w:tc>
          <w:tcPr>
            <w:tcW w:type="dxa" w:w="1440"/>
          </w:tcPr>
          <w:p>
            <w:r>
              <w:rPr>
                <w:rFonts w:ascii="Calibri" w:hAnsi="Calibri"/>
                <w:sz w:val="22"/>
              </w:rPr>
              <w:t>Jun 10, 2026</w:t>
            </w:r>
          </w:p>
        </w:tc>
        <w:tc>
          <w:tcPr>
            <w:tcW w:type="dxa" w:w="1440"/>
          </w:tcPr>
          <w:p>
            <w:r>
              <w:rPr>
                <w:rFonts w:ascii="Calibri" w:hAnsi="Calibri"/>
                <w:sz w:val="22"/>
              </w:rPr>
              <w:t>Largest director buy in the period; discretionary, no 10b5-1 plan; post-purchase holding: 8,326 shares</w:t>
            </w:r>
          </w:p>
        </w:tc>
      </w:tr>
      <w:tr>
        <w:tc>
          <w:tcPr>
            <w:tcW w:type="dxa" w:w="1440"/>
          </w:tcPr>
          <w:p>
            <w:r>
              <w:rPr>
                <w:rFonts w:ascii="Calibri" w:hAnsi="Calibri"/>
                <w:sz w:val="22"/>
              </w:rPr>
              <w:t>Benjamin M. Clark</w:t>
            </w:r>
          </w:p>
        </w:tc>
        <w:tc>
          <w:tcPr>
            <w:tcW w:type="dxa" w:w="1440"/>
          </w:tcPr>
          <w:p>
            <w:r>
              <w:rPr>
                <w:rFonts w:ascii="Calibri" w:hAnsi="Calibri"/>
                <w:sz w:val="22"/>
              </w:rPr>
              <w:t>EVP — Global Supply Chain</w:t>
            </w:r>
          </w:p>
        </w:tc>
        <w:tc>
          <w:tcPr>
            <w:tcW w:type="dxa" w:w="1440"/>
          </w:tcPr>
          <w:p>
            <w:r>
              <w:rPr>
                <w:rFonts w:ascii="Calibri" w:hAnsi="Calibri"/>
                <w:b/>
                <w:color w:val="30A46C"/>
                <w:sz w:val="22"/>
              </w:rPr>
              <w:t>Open Market Buy</w:t>
            </w:r>
          </w:p>
        </w:tc>
        <w:tc>
          <w:tcPr>
            <w:tcW w:type="dxa" w:w="1440"/>
          </w:tcPr>
          <w:p>
            <w:r>
              <w:rPr>
                <w:rFonts w:ascii="Calibri" w:hAnsi="Calibri"/>
                <w:sz w:val="22"/>
              </w:rPr>
              <w:t>1,000 shares</w:t>
            </w:r>
          </w:p>
        </w:tc>
        <w:tc>
          <w:tcPr>
            <w:tcW w:type="dxa" w:w="1440"/>
          </w:tcPr>
          <w:p>
            <w:r>
              <w:rPr>
                <w:rFonts w:ascii="Calibri" w:hAnsi="Calibri"/>
                <w:sz w:val="22"/>
              </w:rPr>
              <w:t>Jun 11, 2026</w:t>
            </w:r>
          </w:p>
        </w:tc>
        <w:tc>
          <w:tcPr>
            <w:tcW w:type="dxa" w:w="1440"/>
          </w:tcPr>
          <w:p>
            <w:r>
              <w:rPr>
                <w:rFonts w:ascii="Calibri" w:hAnsi="Calibri"/>
                <w:sz w:val="22"/>
              </w:rPr>
              <w:t>Discretionary buy by senior operating executive; no 10b5-1 plan; post-purchase holding: 1,083 shares</w:t>
            </w:r>
          </w:p>
        </w:tc>
      </w:tr>
      <w:tr>
        <w:tc>
          <w:tcPr>
            <w:tcW w:type="dxa" w:w="1440"/>
          </w:tcPr>
          <w:p>
            <w:r>
              <w:rPr>
                <w:rFonts w:ascii="Calibri" w:hAnsi="Calibri"/>
                <w:sz w:val="22"/>
              </w:rPr>
              <w:t>Darrell R. Brown</w:t>
            </w:r>
          </w:p>
        </w:tc>
        <w:tc>
          <w:tcPr>
            <w:tcW w:type="dxa" w:w="1440"/>
          </w:tcPr>
          <w:p>
            <w:r>
              <w:rPr>
                <w:rFonts w:ascii="Calibri" w:hAnsi="Calibri"/>
                <w:sz w:val="22"/>
              </w:rPr>
              <w:t>Co-COO — Global Markets</w:t>
            </w:r>
          </w:p>
        </w:tc>
        <w:tc>
          <w:tcPr>
            <w:tcW w:type="dxa" w:w="1440"/>
          </w:tcPr>
          <w:p>
            <w:r>
              <w:rPr>
                <w:rFonts w:ascii="Calibri" w:hAnsi="Calibri"/>
                <w:b/>
                <w:color w:val="E5484D"/>
                <w:sz w:val="22"/>
              </w:rPr>
              <w:t>Open Market Sale</w:t>
            </w:r>
          </w:p>
        </w:tc>
        <w:tc>
          <w:tcPr>
            <w:tcW w:type="dxa" w:w="1440"/>
          </w:tcPr>
          <w:p>
            <w:r>
              <w:rPr>
                <w:rFonts w:ascii="Calibri" w:hAnsi="Calibri"/>
                <w:sz w:val="22"/>
              </w:rPr>
              <w:t>10,000 shares</w:t>
            </w:r>
          </w:p>
        </w:tc>
        <w:tc>
          <w:tcPr>
            <w:tcW w:type="dxa" w:w="1440"/>
          </w:tcPr>
          <w:p>
            <w:r>
              <w:rPr>
                <w:rFonts w:ascii="Calibri" w:hAnsi="Calibri"/>
                <w:sz w:val="22"/>
              </w:rPr>
              <w:t>Jun 9, 2026</w:t>
            </w:r>
          </w:p>
        </w:tc>
        <w:tc>
          <w:tcPr>
            <w:tcW w:type="dxa" w:w="1440"/>
          </w:tcPr>
          <w:p>
            <w:r>
              <w:rPr>
                <w:rFonts w:ascii="Calibri" w:hAnsi="Calibri"/>
                <w:sz w:val="22"/>
              </w:rPr>
              <w:t>Discretionary sale; no 10b5-1 plan flag; post-sale holding: 32,733 shares (still significant); largest single transaction in the period</w:t>
            </w:r>
          </w:p>
        </w:tc>
      </w:tr>
      <w:tr>
        <w:tc>
          <w:tcPr>
            <w:tcW w:type="dxa" w:w="1440"/>
          </w:tcPr>
          <w:p>
            <w:r>
              <w:rPr>
                <w:rFonts w:ascii="Calibri" w:hAnsi="Calibri"/>
                <w:sz w:val="22"/>
              </w:rPr>
              <w:t>David MacLennan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1,000 shares</w:t>
            </w:r>
          </w:p>
        </w:tc>
        <w:tc>
          <w:tcPr>
            <w:tcW w:type="dxa" w:w="1440"/>
          </w:tcPr>
          <w:p>
            <w:r>
              <w:rPr>
                <w:rFonts w:ascii="Calibri" w:hAnsi="Calibri"/>
                <w:sz w:val="22"/>
              </w:rPr>
              <w:t>May 13, 2026</w:t>
            </w:r>
          </w:p>
        </w:tc>
        <w:tc>
          <w:tcPr>
            <w:tcW w:type="dxa" w:w="1440"/>
          </w:tcPr>
          <w:p>
            <w:r>
              <w:rPr>
                <w:rFonts w:ascii="Calibri" w:hAnsi="Calibri"/>
                <w:sz w:val="22"/>
              </w:rPr>
              <w:t>Second purchase by MacLennan in the period; discretionary; no 10b5-1 plan</w:t>
            </w:r>
          </w:p>
        </w:tc>
      </w:tr>
      <w:tr>
        <w:tc>
          <w:tcPr>
            <w:tcW w:type="dxa" w:w="1440"/>
          </w:tcPr>
          <w:p>
            <w:r>
              <w:rPr>
                <w:rFonts w:ascii="Calibri" w:hAnsi="Calibri"/>
                <w:sz w:val="22"/>
              </w:rPr>
              <w:t>David MacLennan</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800 shares</w:t>
            </w:r>
          </w:p>
        </w:tc>
        <w:tc>
          <w:tcPr>
            <w:tcW w:type="dxa" w:w="1440"/>
          </w:tcPr>
          <w:p>
            <w:r>
              <w:rPr>
                <w:rFonts w:ascii="Calibri" w:hAnsi="Calibri"/>
                <w:sz w:val="22"/>
              </w:rPr>
              <w:t>May 4, 2026</w:t>
            </w:r>
          </w:p>
        </w:tc>
        <w:tc>
          <w:tcPr>
            <w:tcW w:type="dxa" w:w="1440"/>
          </w:tcPr>
          <w:p>
            <w:r>
              <w:rPr>
                <w:rFonts w:ascii="Calibri" w:hAnsi="Calibri"/>
                <w:sz w:val="22"/>
              </w:rPr>
              <w:t>First purchase by MacLennan in the period; discretionary; no 10b5-1 plan; total May purchases: 1,800 shares</w:t>
            </w:r>
          </w:p>
        </w:tc>
      </w:tr>
    </w:tbl>
    <w:p>
      <w:r>
        <w:rPr>
          <w:rFonts w:ascii="Calibri" w:hAnsi="Calibri"/>
          <w:b/>
          <w:color w:val="525866"/>
          <w:sz w:val="22"/>
        </w:rPr>
        <w:t xml:space="preserve">Summary: </w:t>
      </w:r>
      <w:r>
        <w:rPr>
          <w:rFonts w:ascii="Calibri" w:hAnsi="Calibri"/>
          <w:color w:val="525866"/>
          <w:sz w:val="22"/>
        </w:rPr>
        <w:t>4 open-market buys vs. 1 open-market sale since Q1 earnings. The cluster of director and senior executive purchases in May–June (at prices ranging from ~$248–$265) is a modestly positive signal, particularly the 7,750-share buy by Director Doukeris. The Co-COO sale of 10,000 shares is the only notable disposition; while discretionary (no 10b5-1 plan), Brown retains a substantial 32,733-share position. Net insider activity leans constructive. Source: Insider Transaction Data (SEC Form 4 Filings).</w:t>
      </w:r>
    </w:p>
    <w:p>
      <w:r>
        <w:br w:type="page"/>
      </w:r>
    </w:p>
    <w:p>
      <w:pPr>
        <w:pStyle w:val="Heading2"/>
      </w:pPr>
      <w:r>
        <w:rPr>
          <w:rFonts w:ascii="Calibri" w:hAnsi="Calibri"/>
          <w:b/>
          <w:color w:val="3B4259"/>
          <w:sz w:val="28"/>
        </w:rPr>
        <w:t>9. Key Questions for Management</w:t>
      </w:r>
    </w:p>
    <w:p>
      <w:pPr>
        <w:pStyle w:val="ListNumber"/>
        <w:ind w:left="360" w:hanging="360"/>
      </w:pPr>
      <w:r>
        <w:rPr>
          <w:rFonts w:ascii="Calibri" w:hAnsi="Calibri"/>
          <w:b/>
          <w:color w:val="525866"/>
          <w:sz w:val="22"/>
        </w:rPr>
        <w:t>Surcharge Execution — Full Dollar Offset Achieved?</w:t>
      </w:r>
      <w:r>
        <w:rPr>
          <w:rFonts w:ascii="Calibri" w:hAnsi="Calibri"/>
          <w:color w:val="525866"/>
          <w:sz w:val="22"/>
        </w:rPr>
        <w:t xml:space="preserve"> Did the energy surcharge fully offset the dollar impact of ~9% commodity cost inflation by the end of Q2 as guided? What was the customer retention rate through the surcharge implementation, and how quickly is the surcharge converting to structural pricing?</w:t>
      </w:r>
    </w:p>
    <w:p>
      <w:pPr>
        <w:pStyle w:val="ListNumber"/>
        <w:ind w:left="360" w:hanging="360"/>
      </w:pPr>
      <w:r>
        <w:rPr>
          <w:rFonts w:ascii="Calibri" w:hAnsi="Calibri"/>
          <w:b/>
          <w:color w:val="525866"/>
          <w:sz w:val="22"/>
        </w:rPr>
        <w:t>Gross Margin Trajectory — Stabilization Confirmed?</w:t>
      </w:r>
      <w:r>
        <w:rPr>
          <w:rFonts w:ascii="Calibri" w:hAnsi="Calibri"/>
          <w:color w:val="525866"/>
          <w:sz w:val="22"/>
        </w:rPr>
        <w:t xml:space="preserve"> Did organic gross margins stabilize in Q2 ex-Ovivo as guided at William Blair? What is the exit-rate gross margin as of June 30, and does the 75 bps H2 organic gross margin expansion target remain intact?</w:t>
      </w:r>
    </w:p>
    <w:p>
      <w:pPr>
        <w:pStyle w:val="ListNumber"/>
        <w:ind w:left="360" w:hanging="360"/>
      </w:pPr>
      <w:r>
        <w:rPr>
          <w:rFonts w:ascii="Calibri" w:hAnsi="Calibri"/>
          <w:b/>
          <w:color w:val="525866"/>
          <w:sz w:val="22"/>
        </w:rPr>
        <w:t>Volume Growth — Surcharge Impact on Demand?</w:t>
      </w:r>
      <w:r>
        <w:rPr>
          <w:rFonts w:ascii="Calibri" w:hAnsi="Calibri"/>
          <w:color w:val="525866"/>
          <w:sz w:val="22"/>
        </w:rPr>
        <w:t xml:space="preserve"> Did the energy surcharge cause any measurable volume softness in Q2 as management cautioned it “might slightly” impact volumes? What is the volume growth assumption embedded in the H2 6–7% organic sales guide?</w:t>
      </w:r>
    </w:p>
    <w:p>
      <w:pPr>
        <w:pStyle w:val="ListNumber"/>
        <w:ind w:left="360" w:hanging="360"/>
      </w:pPr>
      <w:r>
        <w:rPr>
          <w:rFonts w:ascii="Calibri" w:hAnsi="Calibri"/>
          <w:b/>
          <w:color w:val="525866"/>
          <w:sz w:val="22"/>
        </w:rPr>
        <w:t>CoolIT Acquisition — Close Timeline and Integration?</w:t>
      </w:r>
      <w:r>
        <w:rPr>
          <w:rFonts w:ascii="Calibri" w:hAnsi="Calibri"/>
          <w:color w:val="525866"/>
          <w:sz w:val="22"/>
        </w:rPr>
        <w:t xml:space="preserve"> Has the CoolIT acquisition closed? Is the ~$0.20/quarter H2 EPS dilution estimate still accurate given CoolIT’s ~100% Q1 growth rate? What is the updated revenue run-rate assumption?</w:t>
      </w:r>
    </w:p>
    <w:p>
      <w:pPr>
        <w:pStyle w:val="ListNumber"/>
        <w:ind w:left="360" w:hanging="360"/>
      </w:pPr>
      <w:r>
        <w:rPr>
          <w:rFonts w:ascii="Calibri" w:hAnsi="Calibri"/>
          <w:b/>
          <w:color w:val="525866"/>
          <w:sz w:val="22"/>
        </w:rPr>
        <w:t>Growth Engines — Q2 Performance by Segment?</w:t>
      </w:r>
      <w:r>
        <w:rPr>
          <w:rFonts w:ascii="Calibri" w:hAnsi="Calibri"/>
          <w:color w:val="525866"/>
          <w:sz w:val="22"/>
        </w:rPr>
        <w:t xml:space="preserve"> Did Global High-Tech and Digital maintain &gt;20% growth in Q2? Did Life Sciences sustain double-digit growth? What is the current Pest Intelligence device count vs. the 1 million year-end target?</w:t>
      </w:r>
    </w:p>
    <w:p>
      <w:pPr>
        <w:pStyle w:val="ListNumber"/>
        <w:ind w:left="360" w:hanging="360"/>
      </w:pPr>
      <w:r>
        <w:rPr>
          <w:rFonts w:ascii="Calibri" w:hAnsi="Calibri"/>
          <w:b/>
          <w:color w:val="525866"/>
          <w:sz w:val="22"/>
        </w:rPr>
        <w:t>Basic Industries &amp; Paper — Return to Growth?</w:t>
      </w:r>
      <w:r>
        <w:rPr>
          <w:rFonts w:ascii="Calibri" w:hAnsi="Calibri"/>
          <w:color w:val="525866"/>
          <w:sz w:val="22"/>
        </w:rPr>
        <w:t xml:space="preserve"> Management guided for Basic Industries and Paper to reach “slightly positive territory” in H2 2026. Did these businesses stabilize further in Q2, and is the H2 recovery still on track?</w:t>
      </w:r>
    </w:p>
    <w:p>
      <w:pPr>
        <w:pStyle w:val="ListNumber"/>
        <w:ind w:left="360" w:hanging="360"/>
      </w:pPr>
      <w:r>
        <w:rPr>
          <w:rFonts w:ascii="Calibri" w:hAnsi="Calibri"/>
          <w:b/>
          <w:color w:val="525866"/>
          <w:sz w:val="22"/>
        </w:rPr>
        <w:t>Commodity Cost Outlook — Any Change to ~9% Assumption?</w:t>
      </w:r>
      <w:r>
        <w:rPr>
          <w:rFonts w:ascii="Calibri" w:hAnsi="Calibri"/>
          <w:color w:val="525866"/>
          <w:sz w:val="22"/>
        </w:rPr>
        <w:t xml:space="preserve"> RPM International flagged that spot prices have declined from their peak, suggesting potential moderation in H2. Has ECL’s commodity cost outlook changed since April? Is there any upside to the H2 gross margin expansion target if energy costs moderate?</w:t>
      </w:r>
    </w:p>
    <w:p>
      <w:pPr>
        <w:pStyle w:val="ListNumber"/>
        <w:ind w:left="360" w:hanging="360"/>
      </w:pPr>
      <w:r>
        <w:rPr>
          <w:rFonts w:ascii="Calibri" w:hAnsi="Calibri"/>
          <w:b/>
          <w:color w:val="525866"/>
          <w:sz w:val="22"/>
        </w:rPr>
        <w:t>FY 2026 Guidance — Any Update to 12–15% EPS Growth Range?</w:t>
      </w:r>
      <w:r>
        <w:rPr>
          <w:rFonts w:ascii="Calibri" w:hAnsi="Calibri"/>
          <w:color w:val="525866"/>
          <w:sz w:val="22"/>
        </w:rPr>
        <w:t xml:space="preserve"> Given the Q2 guidance raise and strong H2 visibility, is there any basis to narrow or raise the full-year 12–15% EPS growth range (ex-CoolIT)? What are the key risks to the upper end of the range?</w:t>
      </w:r>
    </w:p>
    <w:p>
      <w:pPr>
        <w:pStyle w:val="ListNumber"/>
        <w:ind w:left="360" w:hanging="360"/>
      </w:pPr>
      <w:r>
        <w:rPr>
          <w:rFonts w:ascii="Calibri" w:hAnsi="Calibri"/>
          <w:b/>
          <w:color w:val="525866"/>
          <w:sz w:val="22"/>
        </w:rPr>
        <w:t>One Ecolab &amp; Enterprise Selling — Q2 Progress?</w:t>
      </w:r>
      <w:r>
        <w:rPr>
          <w:rFonts w:ascii="Calibri" w:hAnsi="Calibri"/>
          <w:color w:val="525866"/>
          <w:sz w:val="22"/>
        </w:rPr>
        <w:t xml:space="preserve"> How are the top 35 global customers performing relative to the company average? Is the FNB United (food &amp; beverage cross-sell) global rollout on track? What is the current pipeline for enterprise-level engagements?</w:t>
      </w:r>
    </w:p>
    <w:p>
      <w:pPr>
        <w:pStyle w:val="ListNumber"/>
        <w:ind w:left="360" w:hanging="360"/>
      </w:pPr>
      <w:r>
        <w:rPr>
          <w:rFonts w:ascii="Calibri" w:hAnsi="Calibri"/>
          <w:b/>
          <w:color w:val="525866"/>
          <w:sz w:val="22"/>
        </w:rPr>
        <w:t>2027 Margin Target — Still a Waypoint, Not a Destination?</w:t>
      </w:r>
      <w:r>
        <w:rPr>
          <w:rFonts w:ascii="Calibri" w:hAnsi="Calibri"/>
          <w:color w:val="525866"/>
          <w:sz w:val="22"/>
        </w:rPr>
        <w:t xml:space="preserve"> Management has framed the 20% operating income margin target by 2027 as a “waypoint” with continued expansion through 2030. What is the updated trajectory, and how does CoolIT amortization rolling off in 2027 affect the margin bridge?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