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EG (Everest Group) before writing the preview. Let me gather recent filings, transcripts, and news.Let me read the most recent earnings materials and check for recent news/analyst activity.Let me pull stock price trends, recent news, and the prior quarter's strategic context.The stock has rallied notably into the print. Let me check recent news/analyst context and Q2 catastrophe backdrop.Let me get details from the most relevant sources: the Q2 preview/estimates, the hurricane season, June renewals, and CFO transition.I have what I need. Here's the earnings preview.</w:t>
      </w:r>
    </w:p>
    <w:p>
      <w:r>
        <w:pict>
          <v:rect style="width:0;height:1.5pt" o:hralign="center" o:hrstd="t" o:hr="t"/>
        </w:pict>
      </w:r>
    </w:p>
    <w:bookmarkStart w:id="15" w:name="Xa24557c6bb79c6b0461012fd27b1126335fa6b1"/>
    <w:p>
      <w:pPr>
        <w:pStyle w:val="Heading1"/>
      </w:pPr>
      <w:r>
        <w:t xml:space="preserve">Everest Group (NYSE: EG) — Q2 2026 Earnings Preview</w:t>
      </w:r>
    </w:p>
    <w:bookmarkStart w:id="9" w:name="Xc077f9048481ad7c9b1ff4cd292877afef4f52f"/>
    <w:p>
      <w:pPr>
        <w:pStyle w:val="Heading3"/>
      </w:pPr>
      <w:r>
        <w:t xml:space="preserve">Reports after the close Wednesday, July 29, 2026 · Call 8:00 a.m. ET, July 30</w: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Everest heads into Q2 as a "show-me" reinsurance story that the market has suddenly started to believe in. After a brutal 2025 (casualty reserve charges, wildfire losses, a strategic overhaul), the stock has ripped higher into this print — closing at **</w:t>
      </w:r>
      <m:oMath>
        <m:r>
          <m:t>398.74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28</m:t>
        </m:r>
        <m:r>
          <m:rPr>
            <m:sty m:val="p"/>
          </m:rPr>
          <m:t>,</m:t>
        </m:r>
        <m:r>
          <m:t>u</m:t>
        </m:r>
        <m:r>
          <m:t>p</m:t>
        </m:r>
        <m:r>
          <m:t> </m:t>
        </m:r>
        <m:r>
          <m:t>11</m:t>
        </m:r>
      </m:oMath>
      <w:r>
        <w:t xml:space="preserve">305 last October. The bar into the quarter is a mix of low reported expectations (consensus calls for a YoY earnings decline) but rich near-term sentiment. That combination raises the risk that a "clean but unspectacular" quarter disappoints a stock priced for continued execution.</w:t>
      </w:r>
    </w:p>
    <w:bookmarkEnd w:id="10"/>
    <w:bookmarkStart w:id="11" w:name="what-the-street-expects"/>
    <w:p>
      <w:pPr>
        <w:pStyle w:val="Heading2"/>
      </w:pPr>
      <w:r>
        <w:t xml:space="preserve">What the Street expects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Q2 2026 consensus EPS ≈ $14.59</w:t>
      </w:r>
      <w:r>
        <w:t xml:space="preserve"> </w:t>
      </w:r>
      <w:r>
        <w:t xml:space="preserve">(Zacks), which would be</w:t>
      </w:r>
      <w:r>
        <w:t xml:space="preserve"> </w:t>
      </w:r>
      <w:r>
        <w:rPr>
          <w:b/>
          <w:bCs/>
        </w:rPr>
        <w:t xml:space="preserve">down ~16% YoY</w:t>
      </w:r>
      <w:r>
        <w:t xml:space="preserve"> </w:t>
      </w:r>
      <w:r>
        <w:t xml:space="preserve">— the decline is a function of last year's tougher comp and a smaller, deliberately shrinking premium base, not deterioration in the core.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 ≈ $4.09B</w:t>
      </w:r>
      <w:r>
        <w:t xml:space="preserve">, down ~9% YoY.</w:t>
      </w:r>
    </w:p>
    <w:p>
      <w:pPr>
        <w:pStyle w:val="Compact"/>
        <w:numPr>
          <w:ilvl w:val="0"/>
          <w:numId w:val="1001"/>
        </w:numPr>
      </w:pPr>
      <w:r>
        <w:t xml:space="preserve">**Full-year 2026 consensus ≈</w:t>
      </w:r>
      <w:r>
        <w:t xml:space="preserve"> </w:t>
      </w:r>
      <m:oMath>
        <m:r>
          <m:t>52.9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N</m:t>
        </m:r>
        <m:r>
          <m:t>o</m:t>
        </m:r>
        <m:r>
          <m:t>t</m:t>
        </m:r>
        <m:r>
          <m:t>e</m:t>
        </m:r>
        <m:r>
          <m:t>e</m:t>
        </m:r>
        <m:r>
          <m:t>s</m:t>
        </m:r>
        <m:r>
          <m:t>t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s</m:t>
        </m:r>
        <m:r>
          <m:t>h</m:t>
        </m:r>
        <m:r>
          <m:t>a</m:t>
        </m:r>
        <m:r>
          <m:t>v</m:t>
        </m:r>
        <m:r>
          <m:t>e</m:t>
        </m:r>
        <m:r>
          <m:t>b</m:t>
        </m:r>
        <m:r>
          <m:t>e</m:t>
        </m:r>
        <m:r>
          <m:t>e</m:t>
        </m:r>
        <m:r>
          <m:t>n</m:t>
        </m:r>
        <m:r>
          <m:t>d</m:t>
        </m:r>
        <m:r>
          <m:t>r</m:t>
        </m:r>
        <m:r>
          <m:t>i</m:t>
        </m:r>
        <m:r>
          <m:t>f</m:t>
        </m:r>
        <m:r>
          <m:t>t</m:t>
        </m:r>
        <m:r>
          <m:t>i</m:t>
        </m:r>
        <m:r>
          <m:t>n</m:t>
        </m:r>
        <m:r>
          <m:t>g</m:t>
        </m:r>
        <m:r>
          <m:t>l</m:t>
        </m:r>
        <m:r>
          <m:t>o</m:t>
        </m:r>
        <m:r>
          <m:t>w</m:t>
        </m:r>
        <m:r>
          <m:t>e</m:t>
        </m:r>
        <m:r>
          <m:t>r</m:t>
        </m:r>
        <m:r>
          <m:rPr>
            <m:sty m:val="p"/>
          </m:rPr>
          <m:t>(</m:t>
        </m:r>
        <m:r>
          <m:t>Z</m:t>
        </m:r>
        <m:r>
          <m:t>a</m:t>
        </m:r>
        <m:r>
          <m:t>c</m:t>
        </m:r>
        <m:r>
          <m:t>k</m:t>
        </m:r>
        <m:r>
          <m:t>s</m:t>
        </m:r>
        <m:r>
          <m:t>t</m:t>
        </m:r>
        <m:r>
          <m:t>r</m:t>
        </m:r>
        <m:r>
          <m:t>i</m:t>
        </m:r>
        <m:r>
          <m:t>m</m:t>
        </m:r>
        <m:r>
          <m:t>m</m:t>
        </m:r>
        <m:r>
          <m:t>e</m:t>
        </m:r>
        <m:r>
          <m:t>d</m:t>
        </m:r>
        <m:r>
          <m:t>Q</m:t>
        </m:r>
        <m:r>
          <m:t>2</m:t>
        </m:r>
        <m:r>
          <m:t>t</m:t>
        </m:r>
        <m:r>
          <m:t>o</m:t>
        </m:r>
        <m:r>
          <m:t> </m:t>
        </m:r>
      </m:oMath>
      <w:r>
        <w:t xml:space="preserve">14.26 in late July), so whisper numbers may sit slightly below the headline consensus.</w:t>
      </w:r>
    </w:p>
    <w:p>
      <w:pPr>
        <w:pStyle w:val="Compact"/>
        <w:numPr>
          <w:ilvl w:val="0"/>
          <w:numId w:val="1001"/>
        </w:numPr>
      </w:pPr>
      <w:r>
        <w:t xml:space="preserve">Valuation: at ~</w:t>
      </w:r>
      <m:oMath>
        <m:r>
          <m:t>399</m:t>
        </m:r>
        <m:r>
          <m:rPr>
            <m:sty m:val="p"/>
          </m:rPr>
          <m:t>,</m:t>
        </m:r>
        <m:r>
          <m:t>E</m:t>
        </m:r>
        <m:r>
          <m:t>G</m:t>
        </m:r>
        <m:r>
          <m:t>t</m:t>
        </m:r>
        <m:r>
          <m:t>r</m:t>
        </m:r>
        <m:r>
          <m:t>a</m:t>
        </m:r>
        <m:r>
          <m:t>d</m:t>
        </m:r>
        <m:r>
          <m:t>e</m:t>
        </m:r>
        <m:r>
          <m:t>s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t>a</m:t>
        </m:r>
        <m:r>
          <m:t>r</m:t>
        </m:r>
        <m:r>
          <m:t>o</m:t>
        </m:r>
        <m:r>
          <m:t>u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1.0</m:t>
        </m:r>
        <m:r>
          <m:t>x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Q</m:t>
        </m:r>
        <m:r>
          <m:t>1</m:t>
        </m:r>
        <m:r>
          <m:t>b</m:t>
        </m:r>
        <m:r>
          <m:t>o</m:t>
        </m:r>
        <m:r>
          <m:t>o</m:t>
        </m:r>
        <m:r>
          <m:t>k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t>e</m:t>
        </m:r>
        <m:r>
          <m:t>x</m:t>
        </m:r>
        <m:r>
          <m:rPr>
            <m:sty m:val="p"/>
          </m:rPr>
          <m:t>−</m:t>
        </m:r>
        <m:r>
          <m:t>A</m:t>
        </m:r>
        <m:r>
          <m:t>O</m:t>
        </m:r>
        <m:r>
          <m:t>C</m:t>
        </m:r>
        <m:r>
          <m:t>I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393.02/share** — cheap for a 16–17% ROE franchise if you believe the earnings power, expensive if you fear casualty reserves.</w:t>
      </w:r>
    </w:p>
    <w:bookmarkEnd w:id="11"/>
    <w:bookmarkStart w:id="12" w:name="context-the-new-everest"/>
    <w:p>
      <w:pPr>
        <w:pStyle w:val="Heading2"/>
      </w:pPr>
      <w:r>
        <w:t xml:space="preserve">Context: the "new Everest"</w:t>
      </w:r>
    </w:p>
    <w:p>
      <w:pPr>
        <w:pStyle w:val="FirstParagraph"/>
      </w:pPr>
      <w:r>
        <w:t xml:space="preserve">This is only the</w:t>
      </w:r>
      <w:r>
        <w:t xml:space="preserve"> </w:t>
      </w:r>
      <w:r>
        <w:rPr>
          <w:b/>
          <w:bCs/>
        </w:rPr>
        <w:t xml:space="preserve">second quarter</w:t>
      </w:r>
      <w:r>
        <w:t xml:space="preserve"> </w:t>
      </w:r>
      <w:r>
        <w:t xml:space="preserve">reporting under the new three-segment structure —</w:t>
      </w:r>
      <w:r>
        <w:t xml:space="preserve"> </w:t>
      </w:r>
      <w:r>
        <w:rPr>
          <w:b/>
          <w:bCs/>
        </w:rPr>
        <w:t xml:space="preserve">Reinsurance Treaty, Global Wholesale &amp; Specialty, and Legacy</w:t>
      </w:r>
      <w:r>
        <w:t xml:space="preserve"> </w:t>
      </w:r>
      <w:r>
        <w:t xml:space="preserve">— that management laid out in October 2025. Q1 was a strong first proof point:</w:t>
      </w:r>
      <w:r>
        <w:t xml:space="preserve"> </w:t>
      </w:r>
      <w:r>
        <w:rPr>
          <w:b/>
          <w:bCs/>
        </w:rPr>
        <w:t xml:space="preserve">operating EPS of $16.08, operating ROE of 16.7%, a 91.2% combined ratio, and $567M of net investment income</w:t>
      </w:r>
      <w:r>
        <w:t xml:space="preserve">. The strategy is explicit: prioritize profitability and capital return over top-line, keep shrinking casualty and legacy, and lean into property/specialty where returns clear the hurdle.</w:t>
      </w:r>
    </w:p>
    <w:bookmarkEnd w:id="12"/>
    <w:bookmarkStart w:id="13" w:name="key-things-to-watch-in-the-quarter"/>
    <w:p>
      <w:pPr>
        <w:pStyle w:val="Heading2"/>
      </w:pPr>
      <w:r>
        <w:t xml:space="preserve">Key things to watch in the quarter</w:t>
      </w:r>
    </w:p>
    <w:p>
      <w:pPr>
        <w:pStyle w:val="FirstParagraph"/>
      </w:pPr>
      <w:r>
        <w:rPr>
          <w:b/>
          <w:bCs/>
        </w:rPr>
        <w:t xml:space="preserve">1. Casualty reserves — still the biggest swing factor.</w:t>
      </w:r>
      <w:r>
        <w:t xml:space="preserve"> </w:t>
      </w:r>
      <w:r>
        <w:t xml:space="preserve">After the 2025 remediation, management has kept loss picks prudent and reported</w:t>
      </w:r>
      <w:r>
        <w:t xml:space="preserve"> </w:t>
      </w:r>
      <w:r>
        <w:rPr>
          <w:i/>
          <w:iCs/>
        </w:rPr>
        <w:t xml:space="preserve">no</w:t>
      </w:r>
      <w:r>
        <w:t xml:space="preserve"> </w:t>
      </w:r>
      <w:r>
        <w:t xml:space="preserve">material U.S. casualty movement in Q1, with the group actually posting</w:t>
      </w:r>
      <w:r>
        <w:t xml:space="preserve"> </w:t>
      </w:r>
      <w:r>
        <w:rPr>
          <w:b/>
          <w:bCs/>
        </w:rPr>
        <w:t xml:space="preserve">$33M of favorable development</w:t>
      </w:r>
      <w:r>
        <w:t xml:space="preserve"> </w:t>
      </w:r>
      <w:r>
        <w:t xml:space="preserve">(from well-seasoned property). Watch for: (a) any renewed casualty adverse development, which would reignite the bear case; and (b) the</w:t>
      </w:r>
      <w:r>
        <w:t xml:space="preserve"> </w:t>
      </w:r>
      <w:r>
        <w:rPr>
          <w:b/>
          <w:bCs/>
        </w:rPr>
        <w:t xml:space="preserve">Baltimore bridge</w:t>
      </w:r>
      <w:r>
        <w:t xml:space="preserve"> </w:t>
      </w:r>
      <w:r>
        <w:t xml:space="preserve">— management flagged that emerging settlement data could require "a few tens of millions" of incremental reserve in Q2 or Q3. Everest also runs a formal summer reserve study, so commentary on casualty loss-cost trends will be scrutinized.</w:t>
      </w:r>
    </w:p>
    <w:p>
      <w:pPr>
        <w:pStyle w:val="BodyText"/>
      </w:pPr>
      <w:r>
        <w:rPr>
          <w:b/>
          <w:bCs/>
        </w:rPr>
        <w:t xml:space="preserve">2. A benign catastrophe backdrop — but it's a seasonally light quarter.</w:t>
      </w:r>
      <w:r>
        <w:t xml:space="preserve"> </w:t>
      </w:r>
      <w:r>
        <w:t xml:space="preserve">NOAA is forecasting a</w:t>
      </w:r>
      <w:r>
        <w:t xml:space="preserve"> </w:t>
      </w:r>
      <w:r>
        <w:rPr>
          <w:b/>
          <w:bCs/>
        </w:rPr>
        <w:t xml:space="preserve">below-normal 2026 Atlantic hurricane season</w:t>
      </w:r>
      <w:r>
        <w:t xml:space="preserve"> </w:t>
      </w:r>
      <w:r>
        <w:t xml:space="preserve">(8–14 named storms), and the season has been quiet so far (Tropical Storm Arthur the only early name, no major U.S. landfall through July). That points to a relatively low cat load in Q2, though Q2 always carries U.S. convective-storm risk. Note Q1 already absorbed a</w:t>
      </w:r>
      <w:r>
        <w:t xml:space="preserve"> </w:t>
      </w:r>
      <w:r>
        <w:rPr>
          <w:b/>
          <w:bCs/>
        </w:rPr>
        <w:t xml:space="preserve">~$58M Iran-war provision</w:t>
      </w:r>
      <w:r>
        <w:t xml:space="preserve"> </w:t>
      </w:r>
      <w:r>
        <w:t xml:space="preserve">— watch whether any of that develops.</w:t>
      </w:r>
    </w:p>
    <w:p>
      <w:pPr>
        <w:pStyle w:val="BodyText"/>
      </w:pPr>
      <w:r>
        <w:rPr>
          <w:b/>
          <w:bCs/>
        </w:rPr>
        <w:t xml:space="preserve">3. June (Florida) renewal economics.</w:t>
      </w:r>
      <w:r>
        <w:t xml:space="preserve"> </w:t>
      </w:r>
      <w:r>
        <w:t xml:space="preserve">The 6/1 renewal is Florida-centric, and brokers (Guy Carpenter) reported</w:t>
      </w:r>
      <w:r>
        <w:t xml:space="preserve"> </w:t>
      </w:r>
      <w:r>
        <w:rPr>
          <w:b/>
          <w:bCs/>
        </w:rPr>
        <w:t xml:space="preserve">risk-adjusted property-cat rates down ~15–20%</w:t>
      </w:r>
      <w:r>
        <w:t xml:space="preserve"> </w:t>
      </w:r>
      <w:r>
        <w:t xml:space="preserve">across many layers — softer than Everest's own "mid-teens down" framing on the Q1 call. Key questions: how much capacity did Everest deploy, did it "take chips off the table," and did terms/attachments/nonconcurrent structures (&gt;80% of its Florida book) hold? Management is constructive on</w:t>
      </w:r>
      <w:r>
        <w:t xml:space="preserve"> </w:t>
      </w:r>
      <w:r>
        <w:rPr>
          <w:b/>
          <w:bCs/>
        </w:rPr>
        <w:t xml:space="preserve">Florida tort reform</w:t>
      </w:r>
      <w:r>
        <w:t xml:space="preserve"> </w:t>
      </w:r>
      <w:r>
        <w:t xml:space="preserve">showing up in the loss data — expect that to be a talking point.</w:t>
      </w:r>
    </w:p>
    <w:p>
      <w:pPr>
        <w:pStyle w:val="BodyText"/>
      </w:pPr>
      <w:r>
        <w:rPr>
          <w:b/>
          <w:bCs/>
        </w:rPr>
        <w:t xml:space="preserve">4. Capital return trajectory.</w:t>
      </w:r>
      <w:r>
        <w:t xml:space="preserve"> </w:t>
      </w:r>
      <w:r>
        <w:t xml:space="preserve">Management</w:t>
      </w:r>
      <w:r>
        <w:t xml:space="preserve"> </w:t>
      </w:r>
      <w:r>
        <w:rPr>
          <w:b/>
          <w:bCs/>
        </w:rPr>
        <w:t xml:space="preserve">raised the quarterly buyback floor to $300M</w:t>
      </w:r>
      <w:r>
        <w:t xml:space="preserve"> </w:t>
      </w:r>
      <w:r>
        <w:t xml:space="preserve">(from $200M) and repurchased $331M in Q1 plus another $100M in April, arguing the shares don't reflect true earnings power. Expect continued aggressive repurchase, with management guiding to an</w:t>
      </w:r>
      <w:r>
        <w:t xml:space="preserve"> </w:t>
      </w:r>
      <w:r>
        <w:rPr>
          <w:b/>
          <w:bCs/>
        </w:rPr>
        <w:t xml:space="preserve">elevated payout ratio in 2026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incremental capital release in H2</w:t>
      </w:r>
      <w:r>
        <w:t xml:space="preserve"> </w:t>
      </w:r>
      <w:r>
        <w:t xml:space="preserve">from (a) the AIG commercial-retail renewal-rights transaction and (b) the Canadian operations sale. Any hard numbers on that H2 capital release would be a positive catalyst — but note the stock's run may already reflect some of this.</w:t>
      </w:r>
    </w:p>
    <w:p>
      <w:pPr>
        <w:pStyle w:val="BodyText"/>
      </w:pPr>
      <w:r>
        <w:rPr>
          <w:b/>
          <w:bCs/>
        </w:rPr>
        <w:t xml:space="preserve">5. Global Wholesale &amp; Specialty margin path.</w:t>
      </w:r>
      <w:r>
        <w:t xml:space="preserve"> </w:t>
      </w:r>
      <w:r>
        <w:t xml:space="preserve">Q1 printed a 96.8% combined (23% underwriting margin drag from a 12.6% expense ratio), but the</w:t>
      </w:r>
      <w:r>
        <w:t xml:space="preserve"> </w:t>
      </w:r>
      <w:r>
        <w:rPr>
          <w:b/>
          <w:bCs/>
        </w:rPr>
        <w:t xml:space="preserve">attritional loss ratio improved ~3.8 pts to 58.9%</w:t>
      </w:r>
      <w:r>
        <w:t xml:space="preserve"> </w:t>
      </w:r>
      <w:r>
        <w:t xml:space="preserve">on mix shift toward specialty/short-tail. Watch whether the attritional improvement holds and whether operating leverage starts bending the expense ratio lower as the segment scales.</w:t>
      </w:r>
    </w:p>
    <w:p>
      <w:pPr>
        <w:pStyle w:val="BodyText"/>
      </w:pPr>
      <w:r>
        <w:rPr>
          <w:b/>
          <w:bCs/>
        </w:rPr>
        <w:t xml:space="preserve">6. Legacy drag.</w:t>
      </w:r>
      <w:r>
        <w:t xml:space="preserve"> </w:t>
      </w:r>
      <w:r>
        <w:t xml:space="preserve">The Legacy segment (now housing the run-off commercial-retail book) is guided to a</w:t>
      </w:r>
      <w:r>
        <w:t xml:space="preserve"> </w:t>
      </w:r>
      <w:r>
        <w:rPr>
          <w:b/>
          <w:bCs/>
        </w:rPr>
        <w:t xml:space="preserve">&gt;110% combined ratio for FY26</w:t>
      </w:r>
      <w:r>
        <w:t xml:space="preserve">, with roughly</w:t>
      </w:r>
      <w:r>
        <w:t xml:space="preserve"> </w:t>
      </w:r>
      <w:r>
        <w:rPr>
          <w:b/>
          <w:bCs/>
        </w:rPr>
        <w:t xml:space="preserve">$150M of restructuring charges</w:t>
      </w:r>
      <w:r>
        <w:t xml:space="preserve"> </w:t>
      </w:r>
      <w:r>
        <w:t xml:space="preserve">across the year plus some Q4 real-estate costs. Premium here is collapsing by design, so focus on the</w:t>
      </w:r>
      <w:r>
        <w:t xml:space="preserve"> </w:t>
      </w:r>
      <w:r>
        <w:rPr>
          <w:i/>
          <w:iCs/>
        </w:rPr>
        <w:t xml:space="preserve">pace</w:t>
      </w:r>
      <w:r>
        <w:t xml:space="preserve"> </w:t>
      </w:r>
      <w:r>
        <w:t xml:space="preserve">of runoff and any acceleration of the associated capital release.</w:t>
      </w:r>
    </w:p>
    <w:p>
      <w:pPr>
        <w:pStyle w:val="BodyText"/>
      </w:pPr>
      <w:r>
        <w:rPr>
          <w:b/>
          <w:bCs/>
        </w:rPr>
        <w:t xml:space="preserve">7. First call with a new CFO.</w:t>
      </w:r>
      <w:r>
        <w:t xml:space="preserve"> </w:t>
      </w:r>
      <w:r>
        <w:t xml:space="preserve">This should be</w:t>
      </w:r>
      <w:r>
        <w:t xml:space="preserve"> </w:t>
      </w:r>
      <w:r>
        <w:rPr>
          <w:b/>
          <w:bCs/>
        </w:rPr>
        <w:t xml:space="preserve">Elias Habayeb's first earnings call as CFO</w:t>
      </w:r>
      <w:r>
        <w:t xml:space="preserve">, succeeding Mark Kociancic (whose Q1 call was his last). New CFOs sometimes recalibrate guidance/reserving posture — worth listening for any change in tone on prudence, tax rate (the FY working assumption is ~17–18% vs. Q1's one-time-low 11.7%), or capital philosophy.</w:t>
      </w:r>
    </w:p>
    <w:p>
      <w:pPr>
        <w:pStyle w:val="BodyText"/>
      </w:pPr>
      <w:r>
        <w:rPr>
          <w:b/>
          <w:bCs/>
        </w:rPr>
        <w:t xml:space="preserve">8. Investment income durability.</w:t>
      </w:r>
      <w:r>
        <w:t xml:space="preserve"> </w:t>
      </w:r>
      <w:r>
        <w:t xml:space="preserve">NII was a standout in Q1 at</w:t>
      </w:r>
      <w:r>
        <w:t xml:space="preserve"> </w:t>
      </w:r>
      <m:oMath>
        <m:r>
          <m:t>567</m:t>
        </m:r>
        <m:r>
          <m:t>M</m:t>
        </m:r>
        <m:r>
          <m:rPr>
            <m:sty m:val="p"/>
          </m:rPr>
          <m:t>,</m:t>
        </m:r>
        <m:r>
          <m:t>b</m:t>
        </m:r>
        <m:r>
          <m:t>o</m:t>
        </m:r>
        <m:r>
          <m:t>o</m:t>
        </m:r>
        <m:r>
          <m:t>s</m:t>
        </m:r>
        <m:r>
          <m:t>t</m:t>
        </m:r>
        <m:r>
          <m:t>e</m:t>
        </m:r>
        <m:r>
          <m:t>d</m:t>
        </m:r>
        <m:r>
          <m:t>b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156M of alternative/limited-partnership returns** (vs. $55M a year earlier) — a volatile line. Core fixed-income book yield of 4.5% (≈new-money) on a short ~3.5-year duration provides a stable base; watch whether alts normalize lower and drag the sequential comp.</w:t>
      </w:r>
    </w:p>
    <w:bookmarkEnd w:id="13"/>
    <w:bookmarkStart w:id="1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fundamental story into Q2 is favorable: light cat activity, a stabilizing casualty picture, strong investment income, and an aggressive buyback. The risk is</w:t>
      </w:r>
      <w:r>
        <w:t xml:space="preserve"> </w:t>
      </w:r>
      <w:r>
        <w:rPr>
          <w:b/>
          <w:bCs/>
        </w:rPr>
        <w:t xml:space="preserve">expectations and price</w:t>
      </w:r>
      <w:r>
        <w:t xml:space="preserve"> </w:t>
      </w:r>
      <w:r>
        <w:t xml:space="preserve">— the stock has rallied ~30% off its lows and ~11% this month into a quarter where consensus itself expects earnings</w:t>
      </w:r>
      <w:r>
        <w:t xml:space="preserve"> </w:t>
      </w:r>
      <w:r>
        <w:rPr>
          <w:i/>
          <w:iCs/>
        </w:rPr>
        <w:t xml:space="preserve">down</w:t>
      </w:r>
      <w:r>
        <w:t xml:space="preserve"> </w:t>
      </w:r>
      <w:r>
        <w:t xml:space="preserve">YoY. To keep the momentum, EG likely needs to (1) confirm casualty reserves are behaving, (2) show the June renewal margins still clear return hurdles despite double-digit rate declines, and (3) put a firmer number on the second-half capital release. A clean beat that checks those boxes justifies the re-rating; any casualty wobble or soft renewal commentary would be punished given how much good news is now in the price.</w:t>
      </w:r>
    </w:p>
    <w:p>
      <w:pPr>
        <w:pStyle w:val="BodyText"/>
      </w:pPr>
      <w:r>
        <w:rPr>
          <w:i/>
          <w:iCs/>
        </w:rPr>
        <w:t xml:space="preserve">Sources: Everest Q1 2026 earnings release and conference call transcript; Zacks/consensus estimates; NOAA 2026 hurricane outlook; Guy Carpenter June-renewal commentary; company CFO-transition announcement. Consensus figures are third-party estimates and subject to revision.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2026-07-29T01:57:04Z</dcterms:created>
  <dcterms:modified xsi:type="dcterms:W3CDTF">2026-07-29T01:57:04Z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