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g-earnings-predictions--2026-07-29"/>
    <w:p>
      <w:pPr>
        <w:pStyle w:val="Heading1"/>
      </w:pPr>
      <w:r>
        <w:t xml:space="preserve">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~91.0% vs. cons ~93.5%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Investment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buyback floor / capital return cadence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floor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Casualty/Baltimore Bridge reserve true-up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c</m:t>
              </m:r>
              <m:r>
                <m:t>h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e</m:t>
              </m:r>
              <m:r>
                <m:t>m</m:t>
              </m:r>
              <m:r>
                <m:t>b</m:t>
              </m:r>
              <m:r>
                <m:t>e</m:t>
              </m:r>
              <m:r>
                <m:t>d</m:t>
              </m:r>
              <m:r>
                <m:t>d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15-20M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Legacy segment combined ratio / expense ratio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&gt;110% Legacy CR and 6-7% expense ratio vs. cons ~108-110% CR and ~6.3% expense ratio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(FADE)</w:t>
            </w:r>
          </w:p>
        </w:tc>
        <w:tc>
          <w:tcPr/>
          <w:p>
            <w:pPr>
              <w:pStyle w:val="Compact"/>
            </w:pPr>
            <w:r>
              <w:t xml:space="preserve">Stock rallied ~23% off its June low and ~6.8% in the four sessions right before the print, pricing in a clean cat quarter and a beat; even with likely EPS/combined-ratio beats, continued property-cat rate softening (mid-teens at 6/1 Florida), an incremental casualty/Baltimore Bridge reserve add, and a still-&gt;110% Legacy drag imply modest downward revisions to 2H26/2027 estimates that outweigh the in-quarter beat, producing profit-taking and give-back over the week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2026-07-29T01:57:29Z</dcterms:created>
  <dcterms:modified xsi:type="dcterms:W3CDTF">2026-07-29T01:57:29Z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